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Lines="-2147483648" w:afterLines="-2147483648" w:line="560" w:lineRule="exact"/>
        <w:ind w:firstLine="0" w:firstLineChars="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附件16</w:t>
      </w:r>
    </w:p>
    <w:p>
      <w:pPr>
        <w:snapToGrid w:val="0"/>
        <w:spacing w:beforeLines="0" w:afterLines="0"/>
        <w:ind w:firstLine="440" w:firstLineChars="100"/>
        <w:jc w:val="both"/>
        <w:rPr>
          <w:rFonts w:hint="eastAsia" w:ascii="方正小标宋简体" w:hAnsi="方正小标宋简体" w:eastAsia="方正小标宋简体" w:cs="方正小标宋简体"/>
          <w:b w:val="0"/>
          <w:bCs w:val="0"/>
          <w:sz w:val="44"/>
          <w:szCs w:val="28"/>
          <w:lang w:eastAsia="zh-CN"/>
        </w:rPr>
      </w:pPr>
    </w:p>
    <w:p>
      <w:pPr>
        <w:snapToGrid w:val="0"/>
        <w:spacing w:beforeLines="0" w:afterLines="0"/>
        <w:ind w:firstLine="440" w:firstLineChars="100"/>
        <w:jc w:val="both"/>
        <w:rPr>
          <w:rFonts w:hint="eastAsia" w:ascii="方正小标宋简体" w:hAnsi="方正小标宋简体" w:eastAsia="方正小标宋简体" w:cs="方正小标宋简体"/>
          <w:b w:val="0"/>
          <w:bCs w:val="0"/>
          <w:sz w:val="44"/>
          <w:szCs w:val="28"/>
          <w:lang w:eastAsia="zh-CN"/>
        </w:rPr>
      </w:pPr>
      <w:bookmarkStart w:id="0" w:name="_GoBack"/>
      <w:bookmarkEnd w:id="0"/>
      <w:r>
        <w:rPr>
          <w:rFonts w:hint="eastAsia" w:ascii="方正小标宋简体" w:hAnsi="方正小标宋简体" w:eastAsia="方正小标宋简体" w:cs="方正小标宋简体"/>
          <w:b w:val="0"/>
          <w:bCs w:val="0"/>
          <w:sz w:val="44"/>
          <w:szCs w:val="28"/>
          <w:lang w:eastAsia="zh-CN"/>
        </w:rPr>
        <w:t>云南省中央财政补贴</w:t>
      </w:r>
      <w:r>
        <w:rPr>
          <w:rFonts w:hint="eastAsia" w:ascii="方正小标宋简体" w:hAnsi="方正小标宋简体" w:eastAsia="方正小标宋简体" w:cs="方正小标宋简体"/>
          <w:b w:val="0"/>
          <w:bCs w:val="0"/>
          <w:sz w:val="44"/>
          <w:szCs w:val="28"/>
          <w:lang w:val="en-US" w:eastAsia="zh-CN"/>
        </w:rPr>
        <w:t>性</w:t>
      </w:r>
      <w:r>
        <w:rPr>
          <w:rFonts w:hint="eastAsia" w:ascii="方正小标宋简体" w:hAnsi="方正小标宋简体" w:eastAsia="方正小标宋简体" w:cs="方正小标宋简体"/>
          <w:b w:val="0"/>
          <w:bCs w:val="0"/>
          <w:color w:val="000000"/>
          <w:sz w:val="44"/>
          <w:szCs w:val="28"/>
        </w:rPr>
        <w:t>育肥猪</w:t>
      </w:r>
      <w:r>
        <w:rPr>
          <w:rFonts w:hint="eastAsia" w:ascii="方正小标宋简体" w:hAnsi="方正小标宋简体" w:eastAsia="方正小标宋简体" w:cs="方正小标宋简体"/>
          <w:b w:val="0"/>
          <w:bCs w:val="0"/>
          <w:sz w:val="44"/>
          <w:szCs w:val="28"/>
          <w:lang w:eastAsia="zh-CN"/>
        </w:rPr>
        <w:t>养殖保险</w:t>
      </w:r>
    </w:p>
    <w:p>
      <w:pPr>
        <w:snapToGrid w:val="0"/>
        <w:spacing w:beforeLines="0" w:afterLines="0"/>
        <w:jc w:val="center"/>
        <w:rPr>
          <w:rFonts w:asciiTheme="majorEastAsia" w:hAnsiTheme="majorEastAsia" w:eastAsiaTheme="majorEastAsia" w:cstheme="majorEastAsia"/>
          <w:b/>
          <w:sz w:val="44"/>
          <w:szCs w:val="44"/>
        </w:rPr>
      </w:pPr>
      <w:r>
        <w:rPr>
          <w:rFonts w:hint="eastAsia" w:ascii="方正小标宋简体" w:hAnsi="方正小标宋简体" w:eastAsia="方正小标宋简体" w:cs="方正小标宋简体"/>
          <w:b w:val="0"/>
          <w:bCs w:val="0"/>
          <w:sz w:val="44"/>
          <w:szCs w:val="28"/>
          <w:lang w:eastAsia="zh-CN"/>
        </w:rPr>
        <w:t>行业示范条款</w:t>
      </w:r>
    </w:p>
    <w:p>
      <w:pPr>
        <w:adjustRightInd w:val="0"/>
        <w:snapToGrid w:val="0"/>
        <w:spacing w:line="560" w:lineRule="exact"/>
        <w:jc w:val="center"/>
        <w:rPr>
          <w:rFonts w:ascii="宋体" w:hAnsi="宋体"/>
          <w:szCs w:val="21"/>
        </w:rPr>
      </w:pPr>
    </w:p>
    <w:p>
      <w:pPr>
        <w:pStyle w:val="16"/>
        <w:keepLines w:val="0"/>
        <w:pageBreakBefore w:val="0"/>
        <w:kinsoku/>
        <w:wordWrap/>
        <w:overflowPunct/>
        <w:topLinePunct w:val="0"/>
        <w:bidi w:val="0"/>
        <w:snapToGrid w:val="0"/>
        <w:spacing w:line="360" w:lineRule="auto"/>
        <w:ind w:left="0"/>
        <w:textAlignment w:val="auto"/>
        <w:outlineLvl w:val="1"/>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总</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则</w:t>
      </w:r>
    </w:p>
    <w:p>
      <w:pPr>
        <w:keepLines w:val="0"/>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第一条 </w:t>
      </w:r>
      <w:r>
        <w:rPr>
          <w:rFonts w:hint="eastAsia" w:ascii="仿宋_GB2312" w:hAnsi="仿宋_GB2312" w:eastAsia="仿宋_GB2312" w:cs="仿宋_GB2312"/>
          <w:sz w:val="32"/>
          <w:szCs w:val="32"/>
        </w:rPr>
        <w:t xml:space="preserve"> 本保险合同由保险条款、投保单、保险单、保险凭证、批单以及附件组成。凡涉及本保险合同的约定，均应采用书面形式。</w:t>
      </w:r>
    </w:p>
    <w:p>
      <w:pPr>
        <w:keepLines w:val="0"/>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第二条 </w:t>
      </w:r>
      <w:r>
        <w:rPr>
          <w:rFonts w:hint="eastAsia" w:ascii="仿宋_GB2312" w:hAnsi="仿宋_GB2312" w:eastAsia="仿宋_GB2312" w:cs="仿宋_GB2312"/>
          <w:sz w:val="32"/>
          <w:szCs w:val="32"/>
        </w:rPr>
        <w:t xml:space="preserve"> 同时符合下列条件的养殖场（户）可作为本保险合同的被保险人：</w:t>
      </w:r>
    </w:p>
    <w:p>
      <w:pPr>
        <w:keepLines w:val="0"/>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（一）符合本地产业发展规划和布局；</w:t>
      </w:r>
    </w:p>
    <w:p>
      <w:pPr>
        <w:keepLines w:val="0"/>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（二）管理制度健全、饲养圈舍卫生、能够保证饲养质量；</w:t>
      </w:r>
    </w:p>
    <w:p>
      <w:pPr>
        <w:keepLines w:val="0"/>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（三）饲养场所在当地洪水警戒水位线以上的非蓄洪区、非行洪区，并且投保时能证明未发生动物疫病</w:t>
      </w:r>
      <w:r>
        <w:rPr>
          <w:rFonts w:hint="eastAsia" w:ascii="仿宋_GB2312" w:hAnsi="仿宋_GB2312" w:eastAsia="仿宋_GB2312" w:cs="仿宋_GB2312"/>
          <w:sz w:val="32"/>
          <w:szCs w:val="32"/>
          <w:lang w:eastAsia="zh-CN"/>
        </w:rPr>
        <w:t>；</w:t>
      </w:r>
    </w:p>
    <w:p>
      <w:pPr>
        <w:keepLines w:val="0"/>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取得动物防疫合格证的</w:t>
      </w:r>
      <w:r>
        <w:rPr>
          <w:rFonts w:hint="eastAsia" w:ascii="仿宋_GB2312" w:hAnsi="仿宋_GB2312" w:eastAsia="仿宋_GB2312" w:cs="仿宋_GB2312"/>
          <w:sz w:val="32"/>
          <w:szCs w:val="32"/>
          <w:lang w:val="en-US" w:eastAsia="zh-CN"/>
        </w:rPr>
        <w:t>猪</w:t>
      </w:r>
      <w:r>
        <w:rPr>
          <w:rFonts w:hint="eastAsia" w:ascii="仿宋_GB2312" w:hAnsi="仿宋_GB2312" w:eastAsia="仿宋_GB2312" w:cs="仿宋_GB2312"/>
          <w:sz w:val="32"/>
          <w:szCs w:val="32"/>
        </w:rPr>
        <w:t>场可单独投保，其它场(户) 的</w:t>
      </w:r>
      <w:r>
        <w:rPr>
          <w:rFonts w:hint="eastAsia" w:ascii="仿宋_GB2312" w:hAnsi="仿宋_GB2312" w:eastAsia="仿宋_GB2312" w:cs="仿宋_GB2312"/>
          <w:sz w:val="32"/>
          <w:szCs w:val="32"/>
          <w:lang w:val="en-US" w:eastAsia="zh-CN"/>
        </w:rPr>
        <w:t>育肥猪</w:t>
      </w:r>
      <w:r>
        <w:rPr>
          <w:rFonts w:hint="eastAsia" w:ascii="仿宋_GB2312" w:hAnsi="仿宋_GB2312" w:eastAsia="仿宋_GB2312" w:cs="仿宋_GB2312"/>
          <w:sz w:val="32"/>
          <w:szCs w:val="32"/>
        </w:rPr>
        <w:t xml:space="preserve">可由农业生产经营组织、村民委员会等组织养殖场(户)集体投保。 </w:t>
      </w:r>
    </w:p>
    <w:p>
      <w:pPr>
        <w:pStyle w:val="2"/>
        <w:keepLines w:val="0"/>
        <w:pageBreakBefore w:val="0"/>
        <w:kinsoku/>
        <w:wordWrap/>
        <w:overflowPunct/>
        <w:topLinePunct w:val="0"/>
        <w:bidi w:val="0"/>
        <w:spacing w:line="360" w:lineRule="auto"/>
        <w:textAlignment w:val="auto"/>
        <w:rPr>
          <w:rFonts w:hint="eastAsia"/>
        </w:rPr>
      </w:pPr>
    </w:p>
    <w:p>
      <w:pPr>
        <w:pStyle w:val="16"/>
        <w:keepLines w:val="0"/>
        <w:pageBreakBefore w:val="0"/>
        <w:kinsoku/>
        <w:wordWrap/>
        <w:overflowPunct/>
        <w:topLinePunct w:val="0"/>
        <w:bidi w:val="0"/>
        <w:snapToGrid w:val="0"/>
        <w:spacing w:line="360" w:lineRule="auto"/>
        <w:ind w:left="0"/>
        <w:textAlignment w:val="auto"/>
        <w:outlineLvl w:val="1"/>
        <w:rPr>
          <w:rFonts w:hint="eastAsia" w:ascii="仿宋_GB2312" w:hAnsi="仿宋_GB2312" w:eastAsia="仿宋_GB2312" w:cs="仿宋_GB2312"/>
          <w:b/>
          <w:sz w:val="32"/>
          <w:szCs w:val="32"/>
        </w:rPr>
      </w:pPr>
      <w:r>
        <w:rPr>
          <w:rFonts w:hint="eastAsia" w:ascii="黑体" w:hAnsi="黑体" w:eastAsia="黑体" w:cs="黑体"/>
          <w:b w:val="0"/>
          <w:bCs/>
          <w:color w:val="auto"/>
          <w:sz w:val="32"/>
          <w:szCs w:val="32"/>
        </w:rPr>
        <w:t>保险标的</w:t>
      </w:r>
    </w:p>
    <w:p>
      <w:pPr>
        <w:keepLines w:val="0"/>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color w:val="auto"/>
          <w:kern w:val="0"/>
          <w:sz w:val="32"/>
          <w:szCs w:val="32"/>
          <w:lang w:val="en-US" w:eastAsia="zh-CN" w:bidi="ar-SA"/>
        </w:rPr>
        <w:t xml:space="preserve">第三条 </w:t>
      </w:r>
      <w:r>
        <w:rPr>
          <w:rFonts w:hint="eastAsia" w:ascii="仿宋_GB2312" w:hAnsi="仿宋_GB2312" w:eastAsia="仿宋_GB2312" w:cs="仿宋_GB2312"/>
          <w:b w:val="0"/>
          <w:bCs w:val="0"/>
          <w:sz w:val="32"/>
          <w:szCs w:val="32"/>
        </w:rPr>
        <w:t xml:space="preserve"> 同时符合下列条件的</w:t>
      </w:r>
      <w:r>
        <w:rPr>
          <w:rFonts w:hint="eastAsia" w:ascii="仿宋_GB2312" w:hAnsi="仿宋_GB2312" w:eastAsia="仿宋_GB2312" w:cs="仿宋_GB2312"/>
          <w:b w:val="0"/>
          <w:bCs w:val="0"/>
          <w:sz w:val="32"/>
          <w:szCs w:val="32"/>
          <w:lang w:val="en-US" w:eastAsia="zh-CN"/>
        </w:rPr>
        <w:t>育肥猪</w:t>
      </w:r>
      <w:r>
        <w:rPr>
          <w:rFonts w:hint="eastAsia" w:ascii="仿宋_GB2312" w:hAnsi="仿宋_GB2312" w:eastAsia="仿宋_GB2312" w:cs="仿宋_GB2312"/>
          <w:b w:val="0"/>
          <w:bCs w:val="0"/>
          <w:sz w:val="32"/>
          <w:szCs w:val="32"/>
        </w:rPr>
        <w:t>可以作为本保险合同的保险标的（以下称“</w:t>
      </w:r>
      <w:r>
        <w:rPr>
          <w:rFonts w:hint="eastAsia" w:ascii="仿宋_GB2312" w:hAnsi="仿宋_GB2312" w:eastAsia="仿宋_GB2312" w:cs="仿宋_GB2312"/>
          <w:b w:val="0"/>
          <w:bCs w:val="0"/>
          <w:sz w:val="32"/>
          <w:szCs w:val="32"/>
          <w:lang w:val="en-US" w:eastAsia="zh-CN"/>
        </w:rPr>
        <w:t>保险育肥</w:t>
      </w:r>
      <w:r>
        <w:rPr>
          <w:rFonts w:hint="eastAsia" w:ascii="仿宋_GB2312" w:hAnsi="仿宋_GB2312" w:eastAsia="仿宋_GB2312" w:cs="仿宋_GB2312"/>
          <w:b w:val="0"/>
          <w:bCs w:val="0"/>
          <w:sz w:val="32"/>
          <w:szCs w:val="32"/>
        </w:rPr>
        <w:t>猪”）：</w:t>
      </w:r>
    </w:p>
    <w:p>
      <w:pPr>
        <w:keepLines w:val="0"/>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（一）育肥猪品种必须在当地饲养1年（含）以上；</w:t>
      </w:r>
    </w:p>
    <w:p>
      <w:pPr>
        <w:keepLines w:val="0"/>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投保时育肥猪体重在 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公斤(含)以上( 30日龄(含) 以上或体</w:t>
      </w:r>
      <w:r>
        <w:rPr>
          <w:rFonts w:hint="eastAsia" w:ascii="仿宋_GB2312" w:hAnsi="仿宋_GB2312" w:eastAsia="仿宋_GB2312" w:cs="仿宋_GB2312"/>
          <w:sz w:val="32"/>
          <w:szCs w:val="32"/>
          <w:lang w:val="en-US" w:eastAsia="zh-CN"/>
        </w:rPr>
        <w:t>长</w:t>
      </w:r>
      <w:r>
        <w:rPr>
          <w:rFonts w:hint="eastAsia" w:ascii="仿宋_GB2312" w:hAnsi="仿宋_GB2312" w:eastAsia="仿宋_GB2312" w:cs="仿宋_GB2312"/>
          <w:sz w:val="32"/>
          <w:szCs w:val="32"/>
        </w:rPr>
        <w:t xml:space="preserve">40厘米(含)以上) </w:t>
      </w:r>
      <w:r>
        <w:rPr>
          <w:rFonts w:hint="eastAsia" w:ascii="仿宋_GB2312" w:hAnsi="仿宋_GB2312" w:eastAsia="仿宋_GB2312" w:cs="仿宋_GB2312"/>
          <w:sz w:val="32"/>
          <w:szCs w:val="32"/>
          <w:lang w:val="en-US" w:eastAsia="zh-CN"/>
        </w:rPr>
        <w:t>；</w:t>
      </w:r>
    </w:p>
    <w:p>
      <w:pPr>
        <w:keepLines w:val="0"/>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投保育肥猪无伤残，无本保险责任范围内的疾病，营养良好，饲养管理正常；</w:t>
      </w:r>
    </w:p>
    <w:p>
      <w:pPr>
        <w:keepLines w:val="0"/>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育肥猪按规范的免疫程序接种并有记录。</w:t>
      </w:r>
    </w:p>
    <w:p>
      <w:pPr>
        <w:keepLines w:val="0"/>
        <w:pageBreakBefore w:val="0"/>
        <w:kinsoku/>
        <w:wordWrap/>
        <w:overflowPunct/>
        <w:topLinePunct w:val="0"/>
        <w:bidi w:val="0"/>
        <w:adjustRightInd w:val="0"/>
        <w:snapToGrid w:val="0"/>
        <w:spacing w:line="360" w:lineRule="auto"/>
        <w:ind w:firstLine="630" w:firstLineChars="196"/>
        <w:textAlignment w:val="auto"/>
        <w:rPr>
          <w:rFonts w:hint="eastAsia" w:ascii="仿宋_GB2312" w:hAnsi="仿宋_GB2312" w:eastAsia="仿宋_GB2312" w:cs="仿宋_GB2312"/>
          <w:b/>
          <w:sz w:val="32"/>
          <w:szCs w:val="32"/>
        </w:rPr>
      </w:pPr>
    </w:p>
    <w:p>
      <w:pPr>
        <w:pStyle w:val="16"/>
        <w:keepLines w:val="0"/>
        <w:pageBreakBefore w:val="0"/>
        <w:kinsoku/>
        <w:wordWrap/>
        <w:overflowPunct/>
        <w:topLinePunct w:val="0"/>
        <w:bidi w:val="0"/>
        <w:snapToGrid w:val="0"/>
        <w:spacing w:line="360" w:lineRule="auto"/>
        <w:ind w:left="0"/>
        <w:textAlignment w:val="auto"/>
        <w:outlineLvl w:val="1"/>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保险责任</w:t>
      </w:r>
    </w:p>
    <w:p>
      <w:pPr>
        <w:keepNext w:val="0"/>
        <w:keepLines w:val="0"/>
        <w:pageBreakBefore w:val="0"/>
        <w:widowControl w:val="0"/>
        <w:kinsoku/>
        <w:wordWrap/>
        <w:overflowPunct/>
        <w:topLinePunct w:val="0"/>
        <w:autoSpaceDE/>
        <w:autoSpaceDN/>
        <w:bidi w:val="0"/>
        <w:adjustRightInd/>
        <w:snapToGrid w:val="0"/>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第四条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 xml:space="preserve"> 在保险期间内，由于下列原因直接造成</w:t>
      </w:r>
      <w:r>
        <w:rPr>
          <w:rFonts w:hint="eastAsia" w:ascii="仿宋_GB2312" w:hAnsi="仿宋_GB2312" w:eastAsia="仿宋_GB2312" w:cs="仿宋_GB2312"/>
          <w:sz w:val="32"/>
          <w:szCs w:val="32"/>
          <w:lang w:eastAsia="zh-CN"/>
        </w:rPr>
        <w:t>保险</w:t>
      </w:r>
      <w:r>
        <w:rPr>
          <w:rFonts w:hint="eastAsia" w:ascii="仿宋_GB2312" w:hAnsi="仿宋_GB2312" w:eastAsia="仿宋_GB2312" w:cs="仿宋_GB2312"/>
          <w:sz w:val="32"/>
          <w:szCs w:val="32"/>
          <w:lang w:val="en-US" w:eastAsia="zh-CN"/>
        </w:rPr>
        <w:t>育肥</w:t>
      </w:r>
      <w:r>
        <w:rPr>
          <w:rFonts w:hint="eastAsia" w:ascii="仿宋_GB2312" w:hAnsi="仿宋_GB2312" w:eastAsia="仿宋_GB2312" w:cs="仿宋_GB2312"/>
          <w:sz w:val="32"/>
          <w:szCs w:val="32"/>
          <w:lang w:eastAsia="zh-CN"/>
        </w:rPr>
        <w:t>猪</w:t>
      </w:r>
      <w:r>
        <w:rPr>
          <w:rFonts w:hint="eastAsia" w:ascii="仿宋_GB2312" w:hAnsi="仿宋_GB2312" w:eastAsia="仿宋_GB2312" w:cs="仿宋_GB2312"/>
          <w:sz w:val="32"/>
          <w:szCs w:val="32"/>
        </w:rPr>
        <w:t>在保险合同约定的养殖地点死亡，保险人按照本保险合同的约定负责赔偿：</w:t>
      </w:r>
    </w:p>
    <w:p>
      <w:pPr>
        <w:keepNext w:val="0"/>
        <w:keepLines w:val="0"/>
        <w:pageBreakBefore w:val="0"/>
        <w:widowControl w:val="0"/>
        <w:kinsoku/>
        <w:wordWrap/>
        <w:overflowPunct/>
        <w:topLinePunct w:val="0"/>
        <w:autoSpaceDE/>
        <w:autoSpaceDN/>
        <w:bidi w:val="0"/>
        <w:adjustRightInd/>
        <w:snapToGrid w:val="0"/>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（一）暴雨、洪水</w:t>
      </w:r>
      <w:r>
        <w:rPr>
          <w:rFonts w:hint="eastAsia" w:ascii="仿宋_GB2312" w:hAnsi="仿宋_GB2312" w:eastAsia="仿宋_GB2312" w:cs="仿宋_GB2312"/>
          <w:b/>
          <w:sz w:val="32"/>
          <w:szCs w:val="32"/>
        </w:rPr>
        <w:t>（政府行蓄洪除外）</w:t>
      </w:r>
      <w:r>
        <w:rPr>
          <w:rFonts w:hint="eastAsia" w:ascii="仿宋_GB2312" w:hAnsi="仿宋_GB2312" w:eastAsia="仿宋_GB2312" w:cs="仿宋_GB2312"/>
          <w:sz w:val="32"/>
          <w:szCs w:val="32"/>
        </w:rPr>
        <w:t>、风灾、雷击、地震、雹灾、冻灾等自然灾害；</w:t>
      </w:r>
    </w:p>
    <w:p>
      <w:pPr>
        <w:keepNext w:val="0"/>
        <w:keepLines w:val="0"/>
        <w:pageBreakBefore w:val="0"/>
        <w:widowControl w:val="0"/>
        <w:kinsoku/>
        <w:wordWrap/>
        <w:overflowPunct/>
        <w:topLinePunct w:val="0"/>
        <w:autoSpaceDE/>
        <w:autoSpaceDN/>
        <w:bidi w:val="0"/>
        <w:adjustRightInd/>
        <w:snapToGrid w:val="0"/>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（二）泥石流、山体滑坡、火灾、爆炸、建筑物倒塌、空中运行物体坠落、野生动物毁损等意外事故；</w:t>
      </w:r>
    </w:p>
    <w:p>
      <w:pPr>
        <w:keepNext w:val="0"/>
        <w:keepLines w:val="0"/>
        <w:pageBreakBefore w:val="0"/>
        <w:widowControl w:val="0"/>
        <w:kinsoku/>
        <w:wordWrap/>
        <w:overflowPunct/>
        <w:topLinePunct w:val="0"/>
        <w:autoSpaceDE/>
        <w:autoSpaceDN/>
        <w:bidi w:val="0"/>
        <w:adjustRightInd/>
        <w:snapToGrid w:val="0"/>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（三）疾病、疫病。</w:t>
      </w:r>
    </w:p>
    <w:p>
      <w:pPr>
        <w:keepNext w:val="0"/>
        <w:keepLines w:val="0"/>
        <w:pageBreakBefore w:val="0"/>
        <w:widowControl w:val="0"/>
        <w:kinsoku/>
        <w:wordWrap/>
        <w:overflowPunct/>
        <w:topLinePunct w:val="0"/>
        <w:autoSpaceDE/>
        <w:autoSpaceDN/>
        <w:bidi w:val="0"/>
        <w:snapToGrid w:val="0"/>
        <w:spacing w:line="360" w:lineRule="auto"/>
        <w:ind w:firstLine="640" w:firstLineChars="200"/>
        <w:jc w:val="left"/>
        <w:textAlignment w:val="auto"/>
        <w:rPr>
          <w:rFonts w:hint="eastAsia" w:ascii="仿宋_GB2312" w:hAnsi="仿宋_GB2312" w:eastAsia="仿宋_GB2312" w:cs="仿宋_GB2312"/>
          <w:b/>
          <w:sz w:val="32"/>
          <w:szCs w:val="32"/>
          <w:lang w:eastAsia="zh-CN"/>
        </w:rPr>
      </w:pPr>
      <w:r>
        <w:rPr>
          <w:rFonts w:hint="eastAsia" w:ascii="黑体" w:hAnsi="黑体" w:eastAsia="黑体" w:cs="黑体"/>
          <w:b w:val="0"/>
          <w:bCs/>
          <w:color w:val="auto"/>
          <w:kern w:val="0"/>
          <w:sz w:val="32"/>
          <w:szCs w:val="32"/>
          <w:lang w:val="en-US" w:eastAsia="zh-CN" w:bidi="ar-SA"/>
        </w:rPr>
        <w:t xml:space="preserve">第五条  </w:t>
      </w:r>
      <w:r>
        <w:rPr>
          <w:rFonts w:hint="eastAsia" w:ascii="仿宋_GB2312" w:hAnsi="仿宋_GB2312" w:eastAsia="仿宋_GB2312" w:cs="仿宋_GB2312"/>
          <w:color w:val="000000"/>
          <w:sz w:val="32"/>
          <w:szCs w:val="32"/>
        </w:rPr>
        <w:t>在保险期间内，由于发生高传染性疫病，政府实施强制扑杀导致保险育肥猪死亡，保险人也负责赔偿，</w:t>
      </w:r>
      <w:r>
        <w:rPr>
          <w:rFonts w:hint="eastAsia" w:ascii="仿宋_GB2312" w:hAnsi="仿宋_GB2312" w:eastAsia="仿宋_GB2312" w:cs="仿宋_GB2312"/>
          <w:b/>
          <w:bCs/>
          <w:color w:val="000000"/>
          <w:sz w:val="32"/>
          <w:szCs w:val="32"/>
        </w:rPr>
        <w:t>但赔偿金额以每头保险金额乘以不同尸重/尸长范围对应的赔偿比例后扣减政府扑杀专项补贴金额的差额为限</w:t>
      </w:r>
      <w:r>
        <w:rPr>
          <w:rFonts w:hint="eastAsia" w:ascii="仿宋_GB2312" w:hAnsi="仿宋_GB2312" w:eastAsia="仿宋_GB2312" w:cs="仿宋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30" w:firstLineChars="196"/>
        <w:textAlignment w:val="auto"/>
        <w:rPr>
          <w:rFonts w:hint="eastAsia" w:ascii="仿宋_GB2312" w:hAnsi="仿宋_GB2312" w:eastAsia="仿宋_GB2312" w:cs="仿宋_GB2312"/>
          <w:b/>
          <w:sz w:val="32"/>
          <w:szCs w:val="32"/>
        </w:rPr>
      </w:pPr>
    </w:p>
    <w:p>
      <w:pPr>
        <w:keepNext w:val="0"/>
        <w:keepLines w:val="0"/>
        <w:pageBreakBefore w:val="0"/>
        <w:widowControl w:val="0"/>
        <w:tabs>
          <w:tab w:val="left" w:pos="4500"/>
        </w:tabs>
        <w:kinsoku/>
        <w:wordWrap/>
        <w:overflowPunct/>
        <w:topLinePunct w:val="0"/>
        <w:autoSpaceDE/>
        <w:autoSpaceDN/>
        <w:bidi w:val="0"/>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责任免除</w:t>
      </w:r>
    </w:p>
    <w:p>
      <w:pPr>
        <w:keepNext w:val="0"/>
        <w:keepLines w:val="0"/>
        <w:pageBreakBefore w:val="0"/>
        <w:widowControl w:val="0"/>
        <w:tabs>
          <w:tab w:val="left" w:pos="4500"/>
        </w:tabs>
        <w:kinsoku/>
        <w:wordWrap/>
        <w:overflowPunct/>
        <w:topLinePunct w:val="0"/>
        <w:autoSpaceDE/>
        <w:autoSpaceDN/>
        <w:bidi w:val="0"/>
        <w:snapToGrid w:val="0"/>
        <w:spacing w:line="360" w:lineRule="auto"/>
        <w:ind w:firstLine="0" w:firstLineChars="0"/>
        <w:jc w:val="center"/>
        <w:textAlignment w:val="auto"/>
        <w:rPr>
          <w:rFonts w:hint="eastAsia" w:ascii="仿宋_GB2312" w:hAnsi="仿宋_GB2312" w:eastAsia="仿宋_GB2312" w:cs="仿宋_GB2312"/>
          <w:b/>
          <w:bCs/>
          <w:color w:val="000000"/>
          <w:sz w:val="32"/>
          <w:szCs w:val="32"/>
        </w:rPr>
      </w:pP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color w:val="000000"/>
          <w:sz w:val="32"/>
          <w:szCs w:val="32"/>
        </w:rPr>
        <w:t xml:space="preserve">第六条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下列原因造成的损失、费用，保险人不负责赔偿：</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（一）政府扑杀行为以外的行政行为或司法行为； </w:t>
      </w:r>
    </w:p>
    <w:p>
      <w:pPr>
        <w:keepNext w:val="0"/>
        <w:keepLines w:val="0"/>
        <w:pageBreakBefore w:val="0"/>
        <w:widowControl w:val="0"/>
        <w:tabs>
          <w:tab w:val="left" w:pos="4500"/>
        </w:tabs>
        <w:kinsoku/>
        <w:wordWrap/>
        <w:overflowPunct/>
        <w:topLinePunct w:val="0"/>
        <w:autoSpaceDE/>
        <w:autoSpaceDN/>
        <w:bidi w:val="0"/>
        <w:snapToGrid/>
        <w:spacing w:line="360" w:lineRule="auto"/>
        <w:ind w:firstLine="642" w:firstLineChars="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（二）他人的恶意破坏行为，或投保人及其家庭成员、被保险人及其家庭成员、投保人或被保险人雇用人员的故意或重大过</w:t>
      </w:r>
    </w:p>
    <w:p>
      <w:pPr>
        <w:keepNext w:val="0"/>
        <w:keepLines w:val="0"/>
        <w:pageBreakBefore w:val="0"/>
        <w:widowControl w:val="0"/>
        <w:tabs>
          <w:tab w:val="left" w:pos="4500"/>
        </w:tabs>
        <w:kinsoku/>
        <w:wordWrap/>
        <w:overflowPunct/>
        <w:topLinePunct w:val="0"/>
        <w:autoSpaceDE/>
        <w:autoSpaceDN/>
        <w:bidi w:val="0"/>
        <w:snapToGrid/>
        <w:spacing w:line="360" w:lineRule="auto"/>
        <w:ind w:firstLine="0" w:firstLineChars="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失行为、管理不善；</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（三）正常的淘汰、宰杀；未按相关部门强制免疫程序及时接种疫苗；发病后不及时治疗；发生疫情后不向防疫部门报告；发生保险责任范围内事故后不采取保护与施救措施</w:t>
      </w:r>
      <w:r>
        <w:rPr>
          <w:rFonts w:hint="eastAsia" w:ascii="仿宋_GB2312" w:hAnsi="仿宋_GB2312" w:eastAsia="仿宋_GB2312" w:cs="仿宋_GB2312"/>
          <w:b/>
          <w:bCs/>
          <w:color w:val="000000"/>
          <w:sz w:val="32"/>
          <w:szCs w:val="32"/>
          <w:lang w:val="en-US" w:eastAsia="zh-CN"/>
        </w:rPr>
        <w:t>致使</w:t>
      </w:r>
      <w:r>
        <w:rPr>
          <w:rFonts w:hint="eastAsia" w:ascii="仿宋_GB2312" w:hAnsi="仿宋_GB2312" w:eastAsia="仿宋_GB2312" w:cs="仿宋_GB2312"/>
          <w:b/>
          <w:bCs/>
          <w:color w:val="000000"/>
          <w:sz w:val="32"/>
          <w:szCs w:val="32"/>
        </w:rPr>
        <w:t>损失</w:t>
      </w:r>
      <w:r>
        <w:rPr>
          <w:rFonts w:hint="eastAsia" w:ascii="仿宋_GB2312" w:hAnsi="仿宋_GB2312" w:eastAsia="仿宋_GB2312" w:cs="仿宋_GB2312"/>
          <w:b/>
          <w:bCs/>
          <w:color w:val="000000"/>
          <w:sz w:val="32"/>
          <w:szCs w:val="32"/>
          <w:lang w:val="en-US" w:eastAsia="zh-CN"/>
        </w:rPr>
        <w:t>扩大的部分</w:t>
      </w:r>
      <w:r>
        <w:rPr>
          <w:rFonts w:hint="eastAsia" w:ascii="仿宋_GB2312" w:hAnsi="仿宋_GB2312" w:eastAsia="仿宋_GB2312" w:cs="仿宋_GB2312"/>
          <w:b/>
          <w:bCs/>
          <w:color w:val="000000"/>
          <w:sz w:val="32"/>
          <w:szCs w:val="32"/>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
          <w:bCs/>
          <w:color w:val="000000"/>
          <w:sz w:val="32"/>
          <w:szCs w:val="32"/>
        </w:rPr>
      </w:pPr>
      <w:r>
        <w:rPr>
          <w:rFonts w:hint="eastAsia" w:ascii="黑体" w:hAnsi="黑体" w:eastAsia="黑体" w:cs="黑体"/>
          <w:b w:val="0"/>
          <w:bCs w:val="0"/>
          <w:color w:val="000000"/>
          <w:sz w:val="32"/>
          <w:szCs w:val="32"/>
        </w:rPr>
        <w:t>第七条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 xml:space="preserve"> 下列损失、费用，保险人也不负责赔偿：</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（一）发生保险责任范围内的损失后，投保人、被保险人自行处理保险育肥猪的；</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（二）保险育肥猪遭受保险事故引起的各种间接费用；</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（三）其他不属于本保险责任范围内的损失、费用。</w:t>
      </w:r>
    </w:p>
    <w:p>
      <w:pPr>
        <w:keepNext w:val="0"/>
        <w:keepLines w:val="0"/>
        <w:pageBreakBefore w:val="0"/>
        <w:widowControl w:val="0"/>
        <w:kinsoku/>
        <w:wordWrap/>
        <w:overflowPunct/>
        <w:topLinePunct w:val="0"/>
        <w:autoSpaceDE/>
        <w:autoSpaceDN/>
        <w:bidi w:val="0"/>
        <w:spacing w:line="360" w:lineRule="auto"/>
        <w:ind w:firstLine="627" w:firstLineChars="196"/>
        <w:jc w:val="left"/>
        <w:textAlignment w:val="auto"/>
        <w:rPr>
          <w:rFonts w:hint="eastAsia" w:ascii="仿宋_GB2312" w:hAnsi="仿宋_GB2312" w:eastAsia="仿宋_GB2312" w:cs="仿宋_GB2312"/>
          <w:b/>
          <w:color w:val="000000"/>
          <w:sz w:val="32"/>
          <w:szCs w:val="32"/>
        </w:rPr>
      </w:pPr>
      <w:r>
        <w:rPr>
          <w:rFonts w:hint="eastAsia" w:ascii="黑体" w:hAnsi="黑体" w:eastAsia="黑体" w:cs="黑体"/>
          <w:b w:val="0"/>
          <w:color w:val="000000"/>
          <w:sz w:val="32"/>
          <w:szCs w:val="32"/>
        </w:rPr>
        <w:t xml:space="preserve">第八条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保险育肥猪因病死亡且不能确认无害化处理的，保险人也不负责赔偿。</w:t>
      </w:r>
    </w:p>
    <w:p>
      <w:pPr>
        <w:keepNext w:val="0"/>
        <w:keepLines w:val="0"/>
        <w:pageBreakBefore w:val="0"/>
        <w:widowControl w:val="0"/>
        <w:kinsoku/>
        <w:wordWrap/>
        <w:overflowPunct/>
        <w:topLinePunct w:val="0"/>
        <w:autoSpaceDE/>
        <w:autoSpaceDN/>
        <w:bidi w:val="0"/>
        <w:adjustRightInd w:val="0"/>
        <w:snapToGrid w:val="0"/>
        <w:spacing w:line="360" w:lineRule="auto"/>
        <w:ind w:firstLine="630" w:firstLineChars="196"/>
        <w:textAlignment w:val="auto"/>
        <w:rPr>
          <w:rFonts w:hint="eastAsia" w:ascii="仿宋_GB2312" w:hAnsi="仿宋_GB2312" w:eastAsia="仿宋_GB2312" w:cs="仿宋_GB2312"/>
          <w:b/>
          <w:sz w:val="32"/>
          <w:szCs w:val="32"/>
        </w:rPr>
      </w:pPr>
    </w:p>
    <w:p>
      <w:pPr>
        <w:keepNext w:val="0"/>
        <w:keepLines w:val="0"/>
        <w:pageBreakBefore w:val="0"/>
        <w:widowControl w:val="0"/>
        <w:tabs>
          <w:tab w:val="left" w:pos="4500"/>
        </w:tabs>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b/>
          <w:bCs/>
          <w:color w:val="000000"/>
          <w:sz w:val="32"/>
          <w:szCs w:val="32"/>
        </w:rPr>
      </w:pPr>
      <w:r>
        <w:rPr>
          <w:rFonts w:hint="eastAsia" w:ascii="黑体" w:hAnsi="黑体" w:eastAsia="黑体" w:cs="黑体"/>
          <w:b w:val="0"/>
          <w:bCs w:val="0"/>
          <w:sz w:val="32"/>
          <w:szCs w:val="32"/>
        </w:rPr>
        <w:t>保险金额</w:t>
      </w:r>
    </w:p>
    <w:p>
      <w:pPr>
        <w:keepNext w:val="0"/>
        <w:keepLines w:val="0"/>
        <w:pageBreakBefore w:val="0"/>
        <w:widowControl w:val="0"/>
        <w:kinsoku/>
        <w:wordWrap/>
        <w:overflowPunct/>
        <w:topLinePunct w:val="0"/>
        <w:autoSpaceDE/>
        <w:autoSpaceDN/>
        <w:bidi w:val="0"/>
        <w:snapToGrid w:val="0"/>
        <w:spacing w:before="0" w:after="0"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 xml:space="preserve"> </w:t>
      </w:r>
      <w:r>
        <w:rPr>
          <w:rFonts w:hint="eastAsia" w:ascii="黑体" w:hAnsi="黑体" w:eastAsia="黑体" w:cs="黑体"/>
          <w:b w:val="0"/>
          <w:bCs w:val="0"/>
          <w:color w:val="000000"/>
          <w:sz w:val="32"/>
          <w:szCs w:val="32"/>
        </w:rPr>
        <w:t>第九条</w:t>
      </w:r>
      <w:r>
        <w:rPr>
          <w:rFonts w:hint="eastAsia" w:ascii="黑体" w:hAnsi="黑体" w:eastAsia="黑体" w:cs="黑体"/>
          <w:b w:val="0"/>
          <w:bCs w:val="0"/>
          <w:color w:val="000000"/>
          <w:sz w:val="32"/>
          <w:szCs w:val="32"/>
          <w:lang w:val="en-US" w:eastAsia="zh-CN"/>
        </w:rPr>
        <w:t xml:space="preserve"> </w:t>
      </w:r>
      <w:r>
        <w:rPr>
          <w:rFonts w:hint="eastAsia" w:ascii="仿宋_GB2312" w:hAnsi="仿宋_GB2312" w:eastAsia="仿宋_GB2312" w:cs="仿宋_GB2312"/>
          <w:sz w:val="32"/>
          <w:szCs w:val="32"/>
        </w:rPr>
        <w:t>保险育肥猪每头保险金额按照其生理价值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参照当地的购买价格和饲养成本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由投保人与保险人协商确定，并在保险单中载明，但最高不得超过其市场价值的 80%。</w:t>
      </w:r>
    </w:p>
    <w:p>
      <w:pPr>
        <w:keepNext w:val="0"/>
        <w:keepLines w:val="0"/>
        <w:pageBreakBefore w:val="0"/>
        <w:widowControl w:val="0"/>
        <w:kinsoku/>
        <w:wordWrap/>
        <w:overflowPunct/>
        <w:topLinePunct w:val="0"/>
        <w:autoSpaceDE/>
        <w:autoSpaceDN/>
        <w:bidi w:val="0"/>
        <w:snapToGrid w:val="0"/>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保险金额(元)=每头保险金额(元/头)×保险数量(头 )</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育肥猪按批次投保的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保险数量参照投保时每批次的实际存栏数量确定，</w:t>
      </w:r>
      <w:r>
        <w:rPr>
          <w:rFonts w:hint="eastAsia" w:ascii="仿宋_GB2312" w:hAnsi="仿宋_GB2312" w:eastAsia="仿宋_GB2312" w:cs="仿宋_GB2312"/>
          <w:b/>
          <w:bCs/>
          <w:color w:val="000000"/>
          <w:sz w:val="32"/>
          <w:szCs w:val="32"/>
        </w:rPr>
        <w:t>以最高不超过按照0.8平方米/头计算的圈舍承载能力，</w:t>
      </w:r>
      <w:r>
        <w:rPr>
          <w:rFonts w:hint="eastAsia" w:ascii="仿宋_GB2312" w:hAnsi="仿宋_GB2312" w:eastAsia="仿宋_GB2312" w:cs="仿宋_GB2312"/>
          <w:color w:val="000000"/>
          <w:sz w:val="32"/>
          <w:szCs w:val="32"/>
        </w:rPr>
        <w:t>并在保险单中载明。</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color w:val="000000"/>
          <w:sz w:val="32"/>
          <w:szCs w:val="32"/>
        </w:rPr>
        <w:t>育肥猪按年投保的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按一年累计出栏数量确定。对于非自繁自育的养殖场（户），应参照年度养殖计划和圈舍承载能力，</w:t>
      </w:r>
      <w:r>
        <w:rPr>
          <w:rFonts w:hint="eastAsia" w:ascii="仿宋_GB2312" w:hAnsi="仿宋_GB2312" w:eastAsia="仿宋_GB2312" w:cs="仿宋_GB2312"/>
          <w:b/>
          <w:bCs/>
          <w:color w:val="000000"/>
          <w:sz w:val="32"/>
          <w:szCs w:val="32"/>
        </w:rPr>
        <w:t>按不低于投保日育肥猪实际存栏数量的2.5（年投保批次数）倍，或参照上一年度育肥猪的出栏数量确定保险数量</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对于自繁自育的养殖场（户），应参照投保养殖场的年度养殖计划、存栏能繁母猪数量及实际养殖水平，按照当年养殖的能繁母猪与育肥猪1:25的比例确定育肥猪保险数量；高于或低于此比例的按照实际存（出）栏数量投保，由投保人与保险人协商确定保险数量。保险数量、年投保批次数需在保险单中载明。</w:t>
      </w:r>
    </w:p>
    <w:p>
      <w:pPr>
        <w:keepNext w:val="0"/>
        <w:keepLines w:val="0"/>
        <w:pageBreakBefore w:val="0"/>
        <w:widowControl w:val="0"/>
        <w:tabs>
          <w:tab w:val="left" w:pos="4500"/>
        </w:tabs>
        <w:kinsoku/>
        <w:wordWrap/>
        <w:overflowPunct/>
        <w:topLinePunct w:val="0"/>
        <w:autoSpaceDE/>
        <w:autoSpaceDN/>
        <w:bidi w:val="0"/>
        <w:snapToGrid w:val="0"/>
        <w:spacing w:line="360" w:lineRule="auto"/>
        <w:jc w:val="center"/>
        <w:textAlignment w:val="auto"/>
        <w:rPr>
          <w:rFonts w:hint="eastAsia" w:ascii="黑体" w:hAnsi="黑体" w:eastAsia="黑体" w:cs="黑体"/>
          <w:b w:val="0"/>
          <w:bCs w:val="0"/>
          <w:sz w:val="32"/>
          <w:szCs w:val="32"/>
        </w:rPr>
      </w:pPr>
    </w:p>
    <w:p>
      <w:pPr>
        <w:keepNext w:val="0"/>
        <w:keepLines w:val="0"/>
        <w:pageBreakBefore w:val="0"/>
        <w:widowControl w:val="0"/>
        <w:tabs>
          <w:tab w:val="left" w:pos="4500"/>
        </w:tabs>
        <w:kinsoku/>
        <w:wordWrap/>
        <w:overflowPunct/>
        <w:topLinePunct w:val="0"/>
        <w:autoSpaceDE/>
        <w:autoSpaceDN/>
        <w:bidi w:val="0"/>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保险期间与观察期</w:t>
      </w:r>
    </w:p>
    <w:p>
      <w:pPr>
        <w:keepNext w:val="0"/>
        <w:keepLines w:val="0"/>
        <w:pageBreakBefore w:val="0"/>
        <w:widowControl w:val="0"/>
        <w:kinsoku/>
        <w:wordWrap/>
        <w:overflowPunct/>
        <w:topLinePunct w:val="0"/>
        <w:autoSpaceDE/>
        <w:autoSpaceDN/>
        <w:bidi w:val="0"/>
        <w:spacing w:line="360" w:lineRule="auto"/>
        <w:ind w:firstLine="704" w:firstLineChars="220"/>
        <w:textAlignment w:val="auto"/>
        <w:rPr>
          <w:rFonts w:hint="eastAsia" w:ascii="仿宋_GB2312" w:hAnsi="仿宋_GB2312" w:eastAsia="仿宋_GB2312" w:cs="仿宋_GB2312"/>
          <w:b/>
          <w:sz w:val="32"/>
          <w:szCs w:val="32"/>
        </w:rPr>
      </w:pPr>
      <w:r>
        <w:rPr>
          <w:rFonts w:hint="eastAsia" w:ascii="黑体" w:hAnsi="黑体" w:eastAsia="黑体" w:cs="黑体"/>
          <w:b w:val="0"/>
          <w:bCs w:val="0"/>
          <w:color w:val="000000"/>
          <w:sz w:val="32"/>
          <w:szCs w:val="32"/>
        </w:rPr>
        <w:t xml:space="preserve">第十条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rPr>
        <w:t>本保险合同的保险期间按批次投保的，自保险合同生效之日起至保险育肥猪出栏时止，保险期间最长不超过</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个月；按年投保的，保险期间为一年。</w:t>
      </w:r>
      <w:r>
        <w:rPr>
          <w:rFonts w:hint="eastAsia" w:ascii="仿宋_GB2312" w:hAnsi="仿宋_GB2312" w:eastAsia="仿宋_GB2312" w:cs="仿宋_GB2312"/>
          <w:b/>
          <w:sz w:val="32"/>
          <w:szCs w:val="32"/>
        </w:rPr>
        <w:t>具体保险期间以保险单载明为准。</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rPr>
        <w:t>第十</w:t>
      </w: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 xml:space="preserve">条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rPr>
        <w:t>自本保险期间开始之日起15日（含）为保险育肥猪的疾病观察期。</w:t>
      </w:r>
      <w:r>
        <w:rPr>
          <w:rFonts w:hint="eastAsia" w:ascii="仿宋_GB2312" w:hAnsi="仿宋_GB2312" w:eastAsia="仿宋_GB2312" w:cs="仿宋_GB2312"/>
          <w:b/>
          <w:color w:val="000000"/>
          <w:sz w:val="32"/>
          <w:szCs w:val="32"/>
        </w:rPr>
        <w:t>疾病观察期内保险育肥猪发生本保险合同责任范围内的疾病、疫病，保险人不负责赔付。</w:t>
      </w:r>
    </w:p>
    <w:p>
      <w:pPr>
        <w:keepNext w:val="0"/>
        <w:keepLines w:val="0"/>
        <w:pageBreakBefore w:val="0"/>
        <w:widowControl w:val="0"/>
        <w:kinsoku/>
        <w:wordWrap/>
        <w:overflowPunct/>
        <w:topLinePunct w:val="0"/>
        <w:autoSpaceDE/>
        <w:autoSpaceDN/>
        <w:bidi w:val="0"/>
        <w:adjustRightInd w:val="0"/>
        <w:snapToGrid w:val="0"/>
        <w:spacing w:line="360" w:lineRule="auto"/>
        <w:ind w:firstLine="630" w:firstLineChars="196"/>
        <w:textAlignment w:val="auto"/>
        <w:rPr>
          <w:rFonts w:hint="eastAsia" w:ascii="仿宋_GB2312" w:hAnsi="仿宋_GB2312" w:eastAsia="仿宋_GB2312" w:cs="仿宋_GB2312"/>
          <w:b/>
          <w:sz w:val="32"/>
          <w:szCs w:val="32"/>
        </w:rPr>
      </w:pPr>
    </w:p>
    <w:p>
      <w:pPr>
        <w:keepNext w:val="0"/>
        <w:keepLines w:val="0"/>
        <w:pageBreakBefore w:val="0"/>
        <w:widowControl w:val="0"/>
        <w:tabs>
          <w:tab w:val="left" w:pos="4500"/>
        </w:tabs>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b/>
          <w:sz w:val="32"/>
          <w:szCs w:val="32"/>
        </w:rPr>
      </w:pPr>
      <w:r>
        <w:rPr>
          <w:rFonts w:hint="eastAsia" w:ascii="黑体" w:hAnsi="黑体" w:eastAsia="黑体" w:cs="黑体"/>
          <w:b w:val="0"/>
          <w:bCs w:val="0"/>
          <w:sz w:val="32"/>
          <w:szCs w:val="32"/>
        </w:rPr>
        <w:t>保险人义务</w:t>
      </w:r>
    </w:p>
    <w:p>
      <w:pPr>
        <w:pStyle w:val="16"/>
        <w:keepLines w:val="0"/>
        <w:pageBreakBefore w:val="0"/>
        <w:kinsoku/>
        <w:wordWrap/>
        <w:overflowPunct/>
        <w:topLinePunct w:val="0"/>
        <w:bidi w:val="0"/>
        <w:snapToGrid/>
        <w:spacing w:line="360" w:lineRule="auto"/>
        <w:ind w:left="0" w:leftChars="0" w:firstLine="640" w:firstLineChars="200"/>
        <w:jc w:val="both"/>
        <w:textAlignment w:val="auto"/>
        <w:outlineLvl w:val="1"/>
        <w:rPr>
          <w:rFonts w:hint="eastAsia" w:ascii="仿宋_GB2312" w:hAnsi="仿宋_GB2312" w:eastAsia="仿宋_GB2312" w:cs="仿宋_GB2312"/>
          <w:b w:val="0"/>
          <w:bCs/>
          <w:color w:val="000000"/>
          <w:sz w:val="32"/>
          <w:szCs w:val="32"/>
        </w:rPr>
      </w:pPr>
      <w:r>
        <w:rPr>
          <w:rFonts w:hint="eastAsia" w:ascii="黑体" w:hAnsi="黑体" w:eastAsia="黑体" w:cs="黑体"/>
          <w:b w:val="0"/>
          <w:sz w:val="32"/>
          <w:szCs w:val="32"/>
        </w:rPr>
        <w:t>第十</w:t>
      </w:r>
      <w:r>
        <w:rPr>
          <w:rFonts w:hint="eastAsia" w:ascii="黑体" w:hAnsi="黑体" w:eastAsia="黑体" w:cs="黑体"/>
          <w:b w:val="0"/>
          <w:sz w:val="32"/>
          <w:szCs w:val="32"/>
          <w:lang w:val="en-US" w:eastAsia="zh-CN"/>
        </w:rPr>
        <w:t>二</w:t>
      </w:r>
      <w:r>
        <w:rPr>
          <w:rFonts w:hint="eastAsia" w:ascii="黑体" w:hAnsi="黑体" w:eastAsia="黑体" w:cs="黑体"/>
          <w:b w:val="0"/>
          <w:sz w:val="32"/>
          <w:szCs w:val="32"/>
        </w:rPr>
        <w:t>条</w:t>
      </w:r>
      <w:r>
        <w:rPr>
          <w:rFonts w:hint="eastAsia" w:ascii="黑体" w:hAnsi="黑体" w:eastAsia="黑体" w:cs="黑体"/>
          <w:b w:val="0"/>
          <w:sz w:val="32"/>
          <w:szCs w:val="32"/>
          <w:lang w:val="en-US" w:eastAsia="zh-CN"/>
        </w:rPr>
        <w:t xml:space="preserve"> </w:t>
      </w:r>
      <w:r>
        <w:rPr>
          <w:rFonts w:hint="eastAsia" w:ascii="仿宋_GB2312" w:hAnsi="仿宋_GB2312" w:eastAsia="仿宋_GB2312" w:cs="仿宋_GB2312"/>
          <w:b/>
          <w:sz w:val="32"/>
          <w:szCs w:val="32"/>
        </w:rPr>
        <w:t xml:space="preserve"> </w:t>
      </w:r>
      <w:r>
        <w:rPr>
          <w:rStyle w:val="22"/>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22"/>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本保险合同成立后，保险人应当及时向投保人签发保险单或其他保险凭证。</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保险人按照保险合同的约定，认为被保险人提供的有关索赔的证明和资料不完整的，应当及时一次性通知投保人或被保险人补充提供。</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保险人收到被保险人的赔偿请求后，应当及时就是否属于保险责任作出核定，并将核定结果通知被保险人。情形复杂的，保险人在收到被保险人的赔偿请求后</w:t>
      </w: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日内，履行赔偿义务。保险合同对</w:t>
      </w:r>
      <w:r>
        <w:rPr>
          <w:rFonts w:hint="eastAsia" w:ascii="仿宋_GB2312" w:hAnsi="仿宋_GB2312" w:eastAsia="仿宋_GB2312" w:cs="仿宋_GB2312"/>
          <w:sz w:val="32"/>
          <w:szCs w:val="32"/>
          <w:lang w:val="en-US" w:eastAsia="zh-CN"/>
        </w:rPr>
        <w:t>赔偿金额</w:t>
      </w:r>
      <w:r>
        <w:rPr>
          <w:rFonts w:hint="eastAsia" w:ascii="仿宋_GB2312" w:hAnsi="仿宋_GB2312" w:eastAsia="仿宋_GB2312" w:cs="仿宋_GB2312"/>
          <w:sz w:val="32"/>
          <w:szCs w:val="32"/>
        </w:rPr>
        <w:t>支付的期限</w:t>
      </w:r>
      <w:r>
        <w:rPr>
          <w:rFonts w:hint="eastAsia" w:ascii="仿宋_GB2312" w:hAnsi="仿宋_GB2312" w:eastAsia="仿宋_GB2312" w:cs="仿宋_GB2312"/>
          <w:sz w:val="32"/>
          <w:szCs w:val="32"/>
          <w:lang w:val="en-US" w:eastAsia="zh-CN"/>
        </w:rPr>
        <w:t>另</w:t>
      </w:r>
      <w:r>
        <w:rPr>
          <w:rFonts w:hint="eastAsia" w:ascii="仿宋_GB2312" w:hAnsi="仿宋_GB2312" w:eastAsia="仿宋_GB2312" w:cs="仿宋_GB2312"/>
          <w:sz w:val="32"/>
          <w:szCs w:val="32"/>
        </w:rPr>
        <w:t>有约定的，保险</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应当按照约定履行</w:t>
      </w:r>
      <w:r>
        <w:rPr>
          <w:rFonts w:hint="eastAsia" w:ascii="仿宋_GB2312" w:hAnsi="仿宋_GB2312" w:eastAsia="仿宋_GB2312" w:cs="仿宋_GB2312"/>
          <w:sz w:val="32"/>
          <w:szCs w:val="32"/>
          <w:lang w:val="en-US" w:eastAsia="zh-CN"/>
        </w:rPr>
        <w:t>赔偿</w:t>
      </w:r>
      <w:r>
        <w:rPr>
          <w:rFonts w:hint="eastAsia" w:ascii="仿宋_GB2312" w:hAnsi="仿宋_GB2312" w:eastAsia="仿宋_GB2312" w:cs="仿宋_GB2312"/>
          <w:sz w:val="32"/>
          <w:szCs w:val="32"/>
        </w:rPr>
        <w:t>义务。</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保险人依照前款的约定做出核定后，对不属于保险责任的，应当自作出核定之日起</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日内向被保险人发出拒绝赔偿保险金通知书，并说明理由。</w:t>
      </w:r>
    </w:p>
    <w:p>
      <w:pPr>
        <w:keepNext w:val="0"/>
        <w:keepLines w:val="0"/>
        <w:pageBreakBefore w:val="0"/>
        <w:widowControl w:val="0"/>
        <w:kinsoku/>
        <w:wordWrap/>
        <w:overflowPunct/>
        <w:topLinePunct w:val="0"/>
        <w:autoSpaceDE/>
        <w:autoSpaceDN/>
        <w:bidi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sz w:val="32"/>
          <w:szCs w:val="32"/>
        </w:rPr>
        <w:t>第十</w:t>
      </w:r>
      <w:r>
        <w:rPr>
          <w:rFonts w:hint="eastAsia" w:ascii="黑体" w:hAnsi="黑体" w:eastAsia="黑体" w:cs="黑体"/>
          <w:b w:val="0"/>
          <w:sz w:val="32"/>
          <w:szCs w:val="32"/>
          <w:lang w:val="en-US" w:eastAsia="zh-CN"/>
        </w:rPr>
        <w:t>六</w:t>
      </w:r>
      <w:r>
        <w:rPr>
          <w:rFonts w:hint="eastAsia" w:ascii="黑体" w:hAnsi="黑体" w:eastAsia="黑体" w:cs="黑体"/>
          <w:b w:val="0"/>
          <w:sz w:val="32"/>
          <w:szCs w:val="32"/>
        </w:rPr>
        <w:t>条</w:t>
      </w:r>
      <w:r>
        <w:rPr>
          <w:rFonts w:hint="eastAsia" w:ascii="黑体" w:hAnsi="黑体" w:eastAsia="黑体" w:cs="黑体"/>
          <w:b w:val="0"/>
          <w:sz w:val="32"/>
          <w:szCs w:val="32"/>
          <w:lang w:val="en-US" w:eastAsia="zh-CN"/>
        </w:rPr>
        <w:t xml:space="preserve"> </w:t>
      </w:r>
      <w:r>
        <w:rPr>
          <w:rFonts w:hint="eastAsia" w:ascii="黑体" w:hAnsi="黑体" w:eastAsia="黑体" w:cs="黑体"/>
          <w:b w:val="0"/>
          <w:sz w:val="32"/>
          <w:szCs w:val="32"/>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Next w:val="0"/>
        <w:keepLines w:val="0"/>
        <w:pageBreakBefore w:val="0"/>
        <w:widowControl w:val="0"/>
        <w:kinsoku/>
        <w:wordWrap/>
        <w:overflowPunct/>
        <w:topLinePunct w:val="0"/>
        <w:autoSpaceDE/>
        <w:autoSpaceDN/>
        <w:bidi w:val="0"/>
        <w:adjustRightInd w:val="0"/>
        <w:snapToGrid w:val="0"/>
        <w:spacing w:line="360" w:lineRule="auto"/>
        <w:ind w:firstLine="630" w:firstLineChars="196"/>
        <w:textAlignment w:val="auto"/>
        <w:rPr>
          <w:rFonts w:hint="eastAsia" w:ascii="仿宋_GB2312" w:hAnsi="仿宋_GB2312" w:eastAsia="仿宋_GB2312" w:cs="仿宋_GB2312"/>
          <w:b/>
          <w:sz w:val="32"/>
          <w:szCs w:val="32"/>
        </w:rPr>
      </w:pPr>
    </w:p>
    <w:p>
      <w:pPr>
        <w:keepNext w:val="0"/>
        <w:keepLines w:val="0"/>
        <w:pageBreakBefore w:val="0"/>
        <w:widowControl w:val="0"/>
        <w:tabs>
          <w:tab w:val="left" w:pos="4500"/>
        </w:tabs>
        <w:kinsoku/>
        <w:wordWrap/>
        <w:overflowPunct/>
        <w:topLinePunct w:val="0"/>
        <w:autoSpaceDE/>
        <w:autoSpaceDN/>
        <w:bidi w:val="0"/>
        <w:snapToGrid w:val="0"/>
        <w:spacing w:line="360" w:lineRule="auto"/>
        <w:ind w:firstLine="0" w:firstLineChars="0"/>
        <w:jc w:val="center"/>
        <w:textAlignment w:val="auto"/>
        <w:rPr>
          <w:rFonts w:hint="eastAsia"/>
        </w:rPr>
      </w:pPr>
      <w:r>
        <w:rPr>
          <w:rFonts w:hint="eastAsia" w:ascii="黑体" w:hAnsi="黑体" w:eastAsia="黑体" w:cs="黑体"/>
          <w:b w:val="0"/>
          <w:bCs w:val="0"/>
          <w:sz w:val="32"/>
          <w:szCs w:val="32"/>
        </w:rPr>
        <w:t>投保人、被保险人义务</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 </w:t>
      </w:r>
      <w:r>
        <w:rPr>
          <w:rStyle w:val="22"/>
          <w:rFonts w:hint="eastAsia" w:ascii="黑体" w:hAnsi="黑体" w:eastAsia="黑体" w:cs="黑体"/>
          <w:b w:val="0"/>
          <w:bCs w:val="0"/>
          <w:sz w:val="32"/>
          <w:szCs w:val="32"/>
        </w:rPr>
        <w:t>第十</w:t>
      </w:r>
      <w:r>
        <w:rPr>
          <w:rStyle w:val="22"/>
          <w:rFonts w:hint="eastAsia" w:ascii="黑体" w:hAnsi="黑体" w:eastAsia="黑体" w:cs="黑体"/>
          <w:b w:val="0"/>
          <w:bCs w:val="0"/>
          <w:sz w:val="32"/>
          <w:szCs w:val="32"/>
          <w:lang w:val="en-US" w:eastAsia="zh-CN"/>
        </w:rPr>
        <w:t>七</w:t>
      </w:r>
      <w:r>
        <w:rPr>
          <w:rStyle w:val="22"/>
          <w:rFonts w:hint="eastAsia" w:ascii="黑体" w:hAnsi="黑体" w:eastAsia="黑体" w:cs="黑体"/>
          <w:b w:val="0"/>
          <w:bCs w:val="0"/>
          <w:sz w:val="32"/>
          <w:szCs w:val="32"/>
        </w:rPr>
        <w:t xml:space="preserve">条 </w:t>
      </w:r>
      <w:r>
        <w:rPr>
          <w:rStyle w:val="22"/>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投保人应履行如实告知义务，如实回答保险人就保险育肥猪或被保险人的有关情况提出的询问，并如实填写投保单。</w:t>
      </w:r>
    </w:p>
    <w:p>
      <w:pPr>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投保人故意或者因重大过失未履行前款规定的如实告知义务，足以影响保险人决定是否同意承保</w:t>
      </w:r>
      <w:r>
        <w:rPr>
          <w:rFonts w:hint="eastAsia" w:ascii="仿宋_GB2312" w:hAnsi="仿宋_GB2312" w:eastAsia="仿宋_GB2312" w:cs="仿宋_GB2312"/>
          <w:b/>
          <w:bCs/>
          <w:color w:val="000000"/>
          <w:spacing w:val="0"/>
          <w:sz w:val="32"/>
          <w:szCs w:val="32"/>
        </w:rPr>
        <w:t>或者</w:t>
      </w:r>
      <w:r>
        <w:rPr>
          <w:rFonts w:hint="eastAsia" w:ascii="仿宋_GB2312" w:hAnsi="仿宋_GB2312" w:eastAsia="仿宋_GB2312" w:cs="仿宋_GB2312"/>
          <w:b/>
          <w:bCs/>
          <w:color w:val="000000"/>
          <w:spacing w:val="0"/>
          <w:sz w:val="32"/>
          <w:szCs w:val="32"/>
          <w:u w:val="none" w:color="auto"/>
        </w:rPr>
        <w:t>提高保险费率的</w:t>
      </w:r>
      <w:r>
        <w:rPr>
          <w:rFonts w:ascii="仿宋" w:hAnsi="仿宋" w:eastAsia="仿宋" w:cs="仿宋"/>
          <w:spacing w:val="3"/>
          <w:sz w:val="31"/>
          <w:szCs w:val="31"/>
        </w:rPr>
        <w:t>，</w:t>
      </w:r>
      <w:r>
        <w:rPr>
          <w:rFonts w:hint="eastAsia" w:ascii="仿宋_GB2312" w:hAnsi="仿宋_GB2312" w:eastAsia="仿宋_GB2312" w:cs="仿宋_GB2312"/>
          <w:b/>
          <w:bCs/>
          <w:color w:val="000000"/>
          <w:sz w:val="32"/>
          <w:szCs w:val="32"/>
        </w:rPr>
        <w:t>保险人有权解除保险合同。</w:t>
      </w:r>
      <w:r>
        <w:rPr>
          <w:rFonts w:hint="eastAsia" w:ascii="仿宋_GB2312" w:hAnsi="仿宋_GB2312" w:eastAsia="仿宋_GB2312" w:cs="仿宋_GB2312"/>
          <w:bCs/>
          <w:color w:val="000000"/>
          <w:sz w:val="32"/>
          <w:szCs w:val="32"/>
        </w:rPr>
        <w:t>保险合同自保险人的解约通知书到达投保人或被保险人时解除。</w:t>
      </w:r>
    </w:p>
    <w:p>
      <w:pPr>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投保人故意不履行如实告知义务的，保险人对于保险合同解除前发生的保险事故，不承担赔偿责任</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并不退还保险费。</w:t>
      </w:r>
      <w:r>
        <w:rPr>
          <w:rFonts w:hint="eastAsia" w:ascii="仿宋_GB2312" w:hAnsi="仿宋_GB2312" w:eastAsia="仿宋_GB2312" w:cs="仿宋_GB2312"/>
          <w:b/>
          <w:bCs/>
          <w:color w:val="000000"/>
          <w:sz w:val="32"/>
          <w:szCs w:val="32"/>
        </w:rPr>
        <w:br w:type="textWrapping"/>
      </w:r>
      <w:r>
        <w:rPr>
          <w:rFonts w:hint="eastAsia" w:ascii="仿宋_GB2312" w:hAnsi="仿宋_GB2312" w:eastAsia="仿宋_GB2312" w:cs="仿宋_GB2312"/>
          <w:b/>
          <w:bCs/>
          <w:color w:val="000000"/>
          <w:sz w:val="32"/>
          <w:szCs w:val="32"/>
        </w:rPr>
        <w:t xml:space="preserve">    投保人因重大过失未履行如实告知义务，对保险事故的发生有严重影响的，保险人对于保险合同解除前发生的保险事故，不承担赔偿责任，但应当退还保险费。</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除另有约定外，投保人应在保险合同成立时交清自</w:t>
      </w:r>
      <w:r>
        <w:rPr>
          <w:rFonts w:hint="eastAsia" w:ascii="仿宋_GB2312" w:hAnsi="仿宋_GB2312" w:eastAsia="仿宋_GB2312" w:cs="仿宋_GB2312"/>
          <w:sz w:val="32"/>
          <w:szCs w:val="32"/>
          <w:lang w:val="en-US" w:eastAsia="zh-CN"/>
        </w:rPr>
        <w:t>付部分</w:t>
      </w:r>
      <w:r>
        <w:rPr>
          <w:rFonts w:hint="eastAsia" w:ascii="仿宋_GB2312" w:hAnsi="仿宋_GB2312" w:eastAsia="仿宋_GB2312" w:cs="仿宋_GB2312"/>
          <w:sz w:val="32"/>
          <w:szCs w:val="32"/>
        </w:rPr>
        <w:t>保险费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十九</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被保险人应当遵守国家及地方有关部门育肥猪饲养管理的规定，做好饲养管理，建立、健全和执行防疫、治疗的各项规章制度，接受畜牧兽医部门和保险人的防疫防灾检查及合理建议，切实做好安全防疫防灾工作，维护保险育肥猪的安全。</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可以对保险育肥猪的存栏数量、防灾防疫、标识标志等情况进行查验，保险育肥猪为规模养殖场饲养的，保险人还应当查验经营许可证明等资料。保险人向投保人、被保险人提出消除不安全因素和隐患的书面建议，投保人、被保险人应该认真付诸实施。</w:t>
      </w:r>
    </w:p>
    <w:p>
      <w:pPr>
        <w:keepNext w:val="0"/>
        <w:keepLines w:val="0"/>
        <w:pageBreakBefore w:val="0"/>
        <w:widowControl w:val="0"/>
        <w:kinsoku/>
        <w:wordWrap/>
        <w:overflowPunct/>
        <w:topLinePunct w:val="0"/>
        <w:autoSpaceDE/>
        <w:autoSpaceDN/>
        <w:bidi w:val="0"/>
        <w:snapToGrid/>
        <w:spacing w:before="0" w:line="360" w:lineRule="auto"/>
        <w:ind w:left="32" w:right="101" w:firstLine="627"/>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spacing w:val="0"/>
          <w:kern w:val="0"/>
          <w:sz w:val="32"/>
          <w:szCs w:val="32"/>
        </w:rPr>
        <w:t>投保人、被保险人未按照约定履行其对保险育肥猪生产安全应尽责任的，保险人有权要求增加保险费或解除保险合同。</w:t>
      </w:r>
    </w:p>
    <w:p>
      <w:pPr>
        <w:keepNext w:val="0"/>
        <w:keepLines w:val="0"/>
        <w:pageBreakBefore w:val="0"/>
        <w:widowControl w:val="0"/>
        <w:tabs>
          <w:tab w:val="left" w:pos="1620"/>
        </w:tabs>
        <w:kinsoku/>
        <w:wordWrap/>
        <w:overflowPunct/>
        <w:topLinePunct w:val="0"/>
        <w:autoSpaceDE/>
        <w:autoSpaceDN/>
        <w:bidi w:val="0"/>
        <w:adjustRightInd w:val="0"/>
        <w:snapToGrid/>
        <w:spacing w:line="360" w:lineRule="auto"/>
        <w:ind w:firstLine="640" w:firstLineChars="200"/>
        <w:textAlignment w:val="auto"/>
        <w:rPr>
          <w:rStyle w:val="22"/>
          <w:rFonts w:hint="eastAsia" w:ascii="仿宋_GB2312" w:hAnsi="仿宋_GB2312" w:eastAsia="仿宋_GB2312" w:cs="仿宋_GB2312"/>
          <w:sz w:val="32"/>
          <w:szCs w:val="32"/>
        </w:rPr>
      </w:pPr>
      <w:r>
        <w:rPr>
          <w:rStyle w:val="22"/>
          <w:rFonts w:hint="eastAsia" w:ascii="黑体" w:hAnsi="黑体" w:eastAsia="黑体" w:cs="黑体"/>
          <w:b w:val="0"/>
          <w:kern w:val="2"/>
          <w:sz w:val="32"/>
          <w:szCs w:val="32"/>
        </w:rPr>
        <w:t>第二十条</w:t>
      </w:r>
      <w:r>
        <w:rPr>
          <w:rStyle w:val="22"/>
          <w:rFonts w:hint="eastAsia" w:ascii="黑体" w:hAnsi="黑体" w:eastAsia="黑体" w:cs="黑体"/>
          <w:b w:val="0"/>
          <w:kern w:val="2"/>
          <w:sz w:val="32"/>
          <w:szCs w:val="32"/>
          <w:lang w:val="en-US" w:eastAsia="zh-CN"/>
        </w:rPr>
        <w:t xml:space="preserve"> </w:t>
      </w:r>
      <w:r>
        <w:rPr>
          <w:rStyle w:val="22"/>
          <w:rFonts w:hint="eastAsia" w:ascii="仿宋_GB2312" w:hAnsi="仿宋_GB2312" w:eastAsia="仿宋_GB2312" w:cs="仿宋_GB2312"/>
          <w:b/>
          <w:kern w:val="0"/>
          <w:sz w:val="32"/>
          <w:szCs w:val="32"/>
        </w:rPr>
        <w:t xml:space="preserve"> </w:t>
      </w:r>
      <w:r>
        <w:rPr>
          <w:rStyle w:val="22"/>
          <w:rFonts w:hint="eastAsia" w:ascii="仿宋_GB2312" w:hAnsi="仿宋_GB2312" w:eastAsia="仿宋_GB2312" w:cs="仿宋_GB2312"/>
          <w:sz w:val="32"/>
          <w:szCs w:val="32"/>
        </w:rPr>
        <w:t>保险期间内，保险育肥猪转让的，被保险人或者受让人应当及时通知保险人。</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第二十</w:t>
      </w: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 xml:space="preserve">条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sz w:val="32"/>
          <w:szCs w:val="32"/>
        </w:rPr>
        <w:t>发生保险责任范围内的事故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被保险人应该：</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（一）采取必要、合理的措施，防止或减少损失；</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（二）立即通知保险人，并说明事故发生的原因、经过和损失情况； </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w:t>
      </w:r>
      <w:r>
        <w:rPr>
          <w:rFonts w:hint="eastAsia" w:ascii="仿宋_GB2312" w:hAnsi="仿宋_GB2312" w:eastAsia="仿宋_GB2312" w:cs="仿宋_GB2312"/>
          <w:sz w:val="32"/>
          <w:szCs w:val="32"/>
          <w:lang w:val="en-US" w:eastAsia="zh-CN"/>
        </w:rPr>
        <w:t>不得擅自将死亡保险育肥猪移出养殖区，</w:t>
      </w:r>
      <w:r>
        <w:rPr>
          <w:rFonts w:hint="eastAsia" w:ascii="仿宋_GB2312" w:hAnsi="仿宋_GB2312" w:eastAsia="仿宋_GB2312" w:cs="仿宋_GB2312"/>
          <w:sz w:val="32"/>
          <w:szCs w:val="32"/>
        </w:rPr>
        <w:t>允许并协助保险人进行事故调查；</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部门相关规定做好死亡育肥猪的无害化处理。</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第二十</w:t>
      </w:r>
      <w:r>
        <w:rPr>
          <w:rFonts w:hint="eastAsia" w:ascii="黑体" w:hAnsi="黑体" w:eastAsia="黑体" w:cs="黑体"/>
          <w:b w:val="0"/>
          <w:bCs w:val="0"/>
          <w:color w:val="000000"/>
          <w:sz w:val="32"/>
          <w:szCs w:val="32"/>
          <w:lang w:val="en-US" w:eastAsia="zh-CN"/>
        </w:rPr>
        <w:t>二</w:t>
      </w:r>
      <w:r>
        <w:rPr>
          <w:rFonts w:hint="eastAsia" w:ascii="黑体" w:hAnsi="黑体" w:eastAsia="黑体" w:cs="黑体"/>
          <w:b w:val="0"/>
          <w:bCs w:val="0"/>
          <w:color w:val="000000"/>
          <w:sz w:val="32"/>
          <w:szCs w:val="32"/>
        </w:rPr>
        <w:t>条</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 xml:space="preserve"> </w:t>
      </w:r>
      <w:r>
        <w:rPr>
          <w:rFonts w:hint="eastAsia" w:ascii="仿宋_GB2312" w:hAnsi="仿宋_GB2312" w:eastAsia="仿宋_GB2312" w:cs="仿宋_GB2312"/>
          <w:sz w:val="32"/>
          <w:szCs w:val="32"/>
        </w:rPr>
        <w:t>被保险人向保险人请求赔偿时，应向保险人提供下列证明和资料：</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（一）保险单或保险凭证；</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（二）索赔申请书和损失清单； </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（三）真实合法的诊断证明、死亡原因证明等证明材料或证据材料；</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（四）投保人、被保险人所能提供的其他与确认保险事故的性质、原因、损失程度等有关的证明或证据资料。</w:t>
      </w:r>
    </w:p>
    <w:p>
      <w:pPr>
        <w:keepNext w:val="0"/>
        <w:keepLines w:val="0"/>
        <w:pageBreakBefore w:val="0"/>
        <w:widowControl w:val="0"/>
        <w:kinsoku/>
        <w:wordWrap/>
        <w:overflowPunct/>
        <w:topLinePunct w:val="0"/>
        <w:autoSpaceDE/>
        <w:autoSpaceDN/>
        <w:bidi w:val="0"/>
        <w:snapToGrid/>
        <w:spacing w:line="360" w:lineRule="auto"/>
        <w:ind w:firstLine="630" w:firstLineChars="196"/>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实现理赔电子化的地区，应当按照电子化要求执行。</w:t>
      </w:r>
    </w:p>
    <w:p>
      <w:pPr>
        <w:keepNext w:val="0"/>
        <w:keepLines w:val="0"/>
        <w:pageBreakBefore w:val="0"/>
        <w:widowControl w:val="0"/>
        <w:kinsoku/>
        <w:wordWrap/>
        <w:overflowPunct/>
        <w:topLinePunct w:val="0"/>
        <w:autoSpaceDE/>
        <w:autoSpaceDN/>
        <w:bidi w:val="0"/>
        <w:snapToGrid/>
        <w:spacing w:line="360" w:lineRule="auto"/>
        <w:ind w:firstLine="630" w:firstLineChars="196"/>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病死</w:t>
      </w:r>
      <w:r>
        <w:rPr>
          <w:rFonts w:hint="eastAsia" w:ascii="仿宋_GB2312" w:hAnsi="仿宋_GB2312" w:eastAsia="仿宋_GB2312" w:cs="仿宋_GB2312"/>
          <w:b/>
          <w:color w:val="000000"/>
          <w:sz w:val="32"/>
          <w:szCs w:val="32"/>
          <w:lang w:val="en-US" w:eastAsia="zh-CN"/>
        </w:rPr>
        <w:t>育肥猪</w:t>
      </w:r>
      <w:r>
        <w:rPr>
          <w:rFonts w:hint="eastAsia" w:ascii="仿宋_GB2312" w:hAnsi="仿宋_GB2312" w:eastAsia="仿宋_GB2312" w:cs="仿宋_GB2312"/>
          <w:b/>
          <w:color w:val="000000"/>
          <w:sz w:val="32"/>
          <w:szCs w:val="32"/>
        </w:rPr>
        <w:t>无害化处理是保险理赔的前提条件，不能确认无害化处理的，保险</w:t>
      </w:r>
      <w:r>
        <w:rPr>
          <w:rFonts w:hint="eastAsia" w:ascii="仿宋_GB2312" w:hAnsi="仿宋_GB2312" w:eastAsia="仿宋_GB2312" w:cs="仿宋_GB2312"/>
          <w:b/>
          <w:color w:val="000000"/>
          <w:sz w:val="32"/>
          <w:szCs w:val="32"/>
          <w:lang w:val="en-US" w:eastAsia="zh-CN"/>
        </w:rPr>
        <w:t>人</w:t>
      </w:r>
      <w:r>
        <w:rPr>
          <w:rFonts w:hint="eastAsia" w:ascii="仿宋_GB2312" w:hAnsi="仿宋_GB2312" w:eastAsia="仿宋_GB2312" w:cs="仿宋_GB2312"/>
          <w:b/>
          <w:color w:val="000000"/>
          <w:sz w:val="32"/>
          <w:szCs w:val="32"/>
        </w:rPr>
        <w:t>不予赔偿。</w:t>
      </w:r>
    </w:p>
    <w:p>
      <w:pPr>
        <w:keepNext w:val="0"/>
        <w:keepLines w:val="0"/>
        <w:pageBreakBefore w:val="0"/>
        <w:widowControl w:val="0"/>
        <w:kinsoku/>
        <w:wordWrap/>
        <w:overflowPunct/>
        <w:topLinePunct w:val="0"/>
        <w:autoSpaceDE/>
        <w:autoSpaceDN/>
        <w:bidi w:val="0"/>
        <w:snapToGrid/>
        <w:spacing w:line="360" w:lineRule="auto"/>
        <w:ind w:firstLine="627" w:firstLineChars="196"/>
        <w:textAlignment w:val="auto"/>
        <w:rPr>
          <w:rFonts w:hint="eastAsia" w:ascii="仿宋_GB2312" w:hAnsi="仿宋_GB2312" w:eastAsia="仿宋_GB2312" w:cs="仿宋_GB2312"/>
          <w:b/>
          <w:bCs/>
          <w:sz w:val="32"/>
          <w:szCs w:val="32"/>
        </w:rPr>
      </w:pPr>
      <w:r>
        <w:rPr>
          <w:rFonts w:hint="eastAsia" w:ascii="黑体" w:hAnsi="黑体" w:eastAsia="黑体" w:cs="黑体"/>
          <w:b w:val="0"/>
          <w:bCs w:val="0"/>
          <w:color w:val="000000"/>
          <w:sz w:val="32"/>
          <w:szCs w:val="32"/>
        </w:rPr>
        <w:t>第二十</w:t>
      </w: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 xml:space="preserve">条 </w:t>
      </w:r>
      <w:r>
        <w:rPr>
          <w:rFonts w:hint="eastAsia" w:ascii="仿宋_GB2312" w:hAnsi="仿宋_GB2312" w:eastAsia="仿宋_GB2312" w:cs="仿宋_GB2312"/>
          <w:b/>
          <w:bCs/>
          <w:color w:val="000000"/>
          <w:sz w:val="32"/>
          <w:szCs w:val="32"/>
        </w:rPr>
        <w:t>被保险人未履行第二十</w:t>
      </w:r>
      <w:r>
        <w:rPr>
          <w:rFonts w:hint="eastAsia" w:ascii="仿宋_GB2312" w:hAnsi="仿宋_GB2312" w:eastAsia="仿宋_GB2312" w:cs="仿宋_GB2312"/>
          <w:b/>
          <w:bCs/>
          <w:color w:val="000000"/>
          <w:sz w:val="32"/>
          <w:szCs w:val="32"/>
          <w:lang w:val="en-US" w:eastAsia="zh-CN"/>
        </w:rPr>
        <w:t>一</w:t>
      </w:r>
      <w:r>
        <w:rPr>
          <w:rFonts w:hint="eastAsia" w:ascii="仿宋_GB2312" w:hAnsi="仿宋_GB2312" w:eastAsia="仿宋_GB2312" w:cs="仿宋_GB2312"/>
          <w:b/>
          <w:bCs/>
          <w:color w:val="000000"/>
          <w:sz w:val="32"/>
          <w:szCs w:val="32"/>
        </w:rPr>
        <w:t>条和第二十</w:t>
      </w:r>
      <w:r>
        <w:rPr>
          <w:rFonts w:hint="eastAsia" w:ascii="仿宋_GB2312" w:hAnsi="仿宋_GB2312" w:eastAsia="仿宋_GB2312" w:cs="仿宋_GB2312"/>
          <w:b/>
          <w:bCs/>
          <w:color w:val="000000"/>
          <w:sz w:val="32"/>
          <w:szCs w:val="32"/>
          <w:lang w:val="en-US" w:eastAsia="zh-CN"/>
        </w:rPr>
        <w:t>二</w:t>
      </w:r>
      <w:r>
        <w:rPr>
          <w:rFonts w:hint="eastAsia" w:ascii="仿宋_GB2312" w:hAnsi="仿宋_GB2312" w:eastAsia="仿宋_GB2312" w:cs="仿宋_GB2312"/>
          <w:b/>
          <w:bCs/>
          <w:color w:val="000000"/>
          <w:sz w:val="32"/>
          <w:szCs w:val="32"/>
        </w:rPr>
        <w:t>条约定的义务，导致损失扩大或保险人无法核实损失情况的，保险人对损失扩大的部分以及无法核实的损失不承担保险责任。</w:t>
      </w:r>
    </w:p>
    <w:p>
      <w:pPr>
        <w:keepLines w:val="0"/>
        <w:pageBreakBefore w:val="0"/>
        <w:kinsoku/>
        <w:wordWrap/>
        <w:overflowPunct/>
        <w:topLinePunct w:val="0"/>
        <w:bidi w:val="0"/>
        <w:adjustRightInd w:val="0"/>
        <w:snapToGrid w:val="0"/>
        <w:spacing w:line="360" w:lineRule="auto"/>
        <w:ind w:firstLine="630" w:firstLineChars="196"/>
        <w:textAlignment w:val="auto"/>
        <w:rPr>
          <w:rFonts w:hint="eastAsia" w:ascii="仿宋_GB2312" w:hAnsi="仿宋_GB2312" w:eastAsia="仿宋_GB2312" w:cs="仿宋_GB2312"/>
          <w:b/>
          <w:sz w:val="32"/>
          <w:szCs w:val="32"/>
        </w:rPr>
      </w:pPr>
    </w:p>
    <w:p>
      <w:pPr>
        <w:keepLines w:val="0"/>
        <w:pageBreakBefore w:val="0"/>
        <w:tabs>
          <w:tab w:val="left" w:pos="4500"/>
        </w:tabs>
        <w:kinsoku/>
        <w:wordWrap/>
        <w:overflowPunct/>
        <w:topLinePunct w:val="0"/>
        <w:bidi w:val="0"/>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赔偿处理</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Style w:val="22"/>
          <w:rFonts w:hint="eastAsia" w:ascii="仿宋_GB2312" w:hAnsi="仿宋_GB2312" w:eastAsia="仿宋_GB2312" w:cs="仿宋_GB2312"/>
          <w:b/>
          <w:bCs/>
          <w:color w:val="000000"/>
          <w:sz w:val="32"/>
          <w:szCs w:val="32"/>
        </w:rPr>
      </w:pPr>
      <w:r>
        <w:rPr>
          <w:rFonts w:hint="eastAsia" w:ascii="黑体" w:hAnsi="黑体" w:eastAsia="黑体" w:cs="黑体"/>
          <w:b w:val="0"/>
          <w:bCs w:val="0"/>
          <w:color w:val="000000"/>
          <w:sz w:val="32"/>
          <w:szCs w:val="32"/>
        </w:rPr>
        <w:t>第二十</w:t>
      </w:r>
      <w:r>
        <w:rPr>
          <w:rFonts w:hint="eastAsia" w:ascii="黑体" w:hAnsi="黑体" w:eastAsia="黑体" w:cs="黑体"/>
          <w:b w:val="0"/>
          <w:bCs w:val="0"/>
          <w:color w:val="000000"/>
          <w:sz w:val="32"/>
          <w:szCs w:val="32"/>
          <w:lang w:val="en-US" w:eastAsia="zh-CN"/>
        </w:rPr>
        <w:t>四</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 xml:space="preserve"> </w:t>
      </w:r>
      <w:r>
        <w:rPr>
          <w:rStyle w:val="22"/>
          <w:rFonts w:hint="eastAsia" w:ascii="仿宋_GB2312" w:hAnsi="仿宋_GB2312" w:eastAsia="仿宋_GB2312" w:cs="仿宋_GB2312"/>
          <w:b/>
          <w:bCs/>
          <w:color w:val="000000"/>
          <w:sz w:val="32"/>
          <w:szCs w:val="32"/>
        </w:rPr>
        <w:t>保险事故发生时，被保险人对保险育肥猪不具有保险利益的，不得向保险人请求赔偿保险金。</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color w:val="000000"/>
          <w:sz w:val="32"/>
          <w:szCs w:val="32"/>
        </w:rPr>
      </w:pPr>
      <w:r>
        <w:rPr>
          <w:rStyle w:val="22"/>
          <w:rFonts w:hint="eastAsia" w:ascii="黑体" w:hAnsi="黑体" w:eastAsia="黑体" w:cs="黑体"/>
          <w:b w:val="0"/>
          <w:bCs w:val="0"/>
          <w:color w:val="000000"/>
          <w:sz w:val="32"/>
          <w:szCs w:val="32"/>
        </w:rPr>
        <w:t>第二十</w:t>
      </w:r>
      <w:r>
        <w:rPr>
          <w:rStyle w:val="22"/>
          <w:rFonts w:hint="eastAsia" w:ascii="黑体" w:hAnsi="黑体" w:eastAsia="黑体" w:cs="黑体"/>
          <w:b w:val="0"/>
          <w:bCs w:val="0"/>
          <w:color w:val="000000"/>
          <w:sz w:val="32"/>
          <w:szCs w:val="32"/>
          <w:lang w:val="en-US" w:eastAsia="zh-CN"/>
        </w:rPr>
        <w:t>五</w:t>
      </w:r>
      <w:r>
        <w:rPr>
          <w:rStyle w:val="22"/>
          <w:rFonts w:hint="eastAsia" w:ascii="黑体" w:hAnsi="黑体" w:eastAsia="黑体" w:cs="黑体"/>
          <w:b w:val="0"/>
          <w:bCs w:val="0"/>
          <w:color w:val="000000"/>
          <w:sz w:val="32"/>
          <w:szCs w:val="32"/>
        </w:rPr>
        <w:t>条</w:t>
      </w:r>
      <w:r>
        <w:rPr>
          <w:rStyle w:val="22"/>
          <w:rFonts w:hint="eastAsia" w:ascii="仿宋_GB2312" w:hAnsi="仿宋_GB2312" w:eastAsia="仿宋_GB2312" w:cs="仿宋_GB2312"/>
          <w:b/>
          <w:bCs/>
          <w:color w:val="000000"/>
          <w:sz w:val="32"/>
          <w:szCs w:val="32"/>
        </w:rPr>
        <w:t xml:space="preserve"> </w:t>
      </w:r>
      <w:r>
        <w:rPr>
          <w:rStyle w:val="22"/>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rPr>
        <w:t>保险育肥猪发生保险责任范围内的损失，保险人按以下方式计算赔偿：</w:t>
      </w:r>
    </w:p>
    <w:p>
      <w:pPr>
        <w:pStyle w:val="6"/>
        <w:keepNext w:val="0"/>
        <w:keepLines w:val="0"/>
        <w:pageBreakBefore w:val="0"/>
        <w:kinsoku/>
        <w:wordWrap/>
        <w:overflowPunct/>
        <w:topLinePunct w:val="0"/>
        <w:autoSpaceDE/>
        <w:autoSpaceDN/>
        <w:bidi w:val="0"/>
        <w:adjustRightInd/>
        <w:spacing w:after="0" w:line="360" w:lineRule="auto"/>
        <w:ind w:left="0" w:leftChars="0"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（一）可以确定保险育肥猪尸重/尸长时，投保时投保人应选定以下赔偿方式之一计算赔偿金额，并在保险单中载明。</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1.按尸重确定赔偿方式：</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每头赔偿金额=每头保险金额×不同尸重范围每头保险育肥猪赔偿比例</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赔偿金额=∑每头赔偿金额</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2.按尸长确定赔偿方式：</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每头赔偿金额=每头保险金额×不同尸长范围每头保险育肥猪赔偿比例</w:t>
      </w:r>
    </w:p>
    <w:p>
      <w:pPr>
        <w:keepNext w:val="0"/>
        <w:keepLines w:val="0"/>
        <w:pageBreakBefore w:val="0"/>
        <w:kinsoku/>
        <w:wordWrap/>
        <w:overflowPunct/>
        <w:topLinePunct w:val="0"/>
        <w:autoSpaceDE/>
        <w:autoSpaceDN/>
        <w:bidi w:val="0"/>
        <w:adjustRightInd/>
        <w:spacing w:line="360" w:lineRule="auto"/>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赔偿金额=∑每头赔偿金额</w:t>
      </w:r>
    </w:p>
    <w:p>
      <w:pPr>
        <w:keepLines w:val="0"/>
        <w:pageBreakBefore w:val="0"/>
        <w:kinsoku/>
        <w:wordWrap/>
        <w:overflowPunct/>
        <w:topLinePunct w:val="0"/>
        <w:bidi w:val="0"/>
        <w:spacing w:line="560" w:lineRule="exact"/>
        <w:ind w:firstLine="964" w:firstLineChars="3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不同尸重/尸长范围每头保险育肥猪赔偿比例表</w:t>
      </w:r>
    </w:p>
    <w:tbl>
      <w:tblPr>
        <w:tblStyle w:val="25"/>
        <w:tblW w:w="8790"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1"/>
        <w:gridCol w:w="1557"/>
        <w:gridCol w:w="1701"/>
        <w:gridCol w:w="1418"/>
        <w:gridCol w:w="1418"/>
        <w:gridCol w:w="9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34" w:hRule="exact"/>
          <w:jc w:val="center"/>
        </w:trPr>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2"/>
                <w:position w:val="24"/>
                <w:sz w:val="28"/>
                <w:szCs w:val="28"/>
              </w:rPr>
              <w:t>育肥猪</w:t>
            </w:r>
            <w:r>
              <w:rPr>
                <w:rFonts w:hint="eastAsia" w:ascii="仿宋_GB2312" w:hAnsi="仿宋_GB2312" w:eastAsia="仿宋_GB2312" w:cs="仿宋_GB2312"/>
                <w:spacing w:val="-1"/>
                <w:position w:val="24"/>
                <w:sz w:val="28"/>
                <w:szCs w:val="28"/>
              </w:rPr>
              <w:t>尸重</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w:t>
            </w:r>
            <w:r>
              <w:rPr>
                <w:rFonts w:hint="eastAsia" w:ascii="仿宋_GB2312" w:hAnsi="仿宋_GB2312" w:eastAsia="仿宋_GB2312" w:cs="仿宋_GB2312"/>
                <w:spacing w:val="-6"/>
                <w:sz w:val="28"/>
                <w:szCs w:val="28"/>
              </w:rPr>
              <w:t>W) (公斤)</w:t>
            </w:r>
          </w:p>
        </w:tc>
        <w:tc>
          <w:tcPr>
            <w:tcW w:w="15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w w:val="94"/>
                <w:sz w:val="28"/>
                <w:szCs w:val="28"/>
                <w:u w:val="single" w:color="auto"/>
                <w:lang w:val="en-US" w:eastAsia="zh-CN"/>
              </w:rPr>
              <w:t>15</w:t>
            </w:r>
            <w:r>
              <w:rPr>
                <w:rFonts w:hint="eastAsia" w:ascii="仿宋_GB2312" w:hAnsi="仿宋_GB2312" w:eastAsia="仿宋_GB2312" w:cs="仿宋_GB2312"/>
                <w:spacing w:val="-11"/>
                <w:w w:val="94"/>
                <w:sz w:val="28"/>
                <w:szCs w:val="28"/>
              </w:rPr>
              <w:t>≤W＜</w:t>
            </w:r>
            <w:r>
              <w:rPr>
                <w:rFonts w:hint="eastAsia" w:ascii="仿宋_GB2312" w:hAnsi="仿宋_GB2312" w:eastAsia="仿宋_GB2312" w:cs="仿宋_GB2312"/>
                <w:spacing w:val="-70"/>
                <w:sz w:val="28"/>
                <w:szCs w:val="28"/>
              </w:rPr>
              <w:t xml:space="preserve"> </w:t>
            </w:r>
            <w:r>
              <w:rPr>
                <w:rFonts w:hint="eastAsia" w:ascii="仿宋_GB2312" w:hAnsi="仿宋_GB2312" w:eastAsia="仿宋_GB2312" w:cs="仿宋_GB2312"/>
                <w:spacing w:val="-11"/>
                <w:w w:val="94"/>
                <w:sz w:val="28"/>
                <w:szCs w:val="28"/>
                <w:u w:val="single" w:color="auto"/>
              </w:rPr>
              <w:t>20</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w w:val="95"/>
                <w:sz w:val="28"/>
                <w:szCs w:val="28"/>
                <w:u w:val="single" w:color="auto"/>
              </w:rPr>
              <w:t>20</w:t>
            </w:r>
            <w:r>
              <w:rPr>
                <w:rFonts w:hint="eastAsia" w:ascii="仿宋_GB2312" w:hAnsi="仿宋_GB2312" w:eastAsia="仿宋_GB2312" w:cs="仿宋_GB2312"/>
                <w:spacing w:val="-57"/>
                <w:sz w:val="28"/>
                <w:szCs w:val="28"/>
              </w:rPr>
              <w:t xml:space="preserve"> </w:t>
            </w:r>
            <w:r>
              <w:rPr>
                <w:rFonts w:hint="eastAsia" w:ascii="仿宋_GB2312" w:hAnsi="仿宋_GB2312" w:eastAsia="仿宋_GB2312" w:cs="仿宋_GB2312"/>
                <w:spacing w:val="-11"/>
                <w:w w:val="95"/>
                <w:sz w:val="28"/>
                <w:szCs w:val="28"/>
              </w:rPr>
              <w:t>≤W＜</w:t>
            </w:r>
            <w:r>
              <w:rPr>
                <w:rFonts w:hint="eastAsia" w:ascii="仿宋_GB2312" w:hAnsi="仿宋_GB2312" w:eastAsia="仿宋_GB2312" w:cs="仿宋_GB2312"/>
                <w:spacing w:val="-71"/>
                <w:sz w:val="28"/>
                <w:szCs w:val="28"/>
              </w:rPr>
              <w:t xml:space="preserve"> </w:t>
            </w:r>
            <w:r>
              <w:rPr>
                <w:rFonts w:hint="eastAsia" w:ascii="仿宋_GB2312" w:hAnsi="仿宋_GB2312" w:eastAsia="仿宋_GB2312" w:cs="仿宋_GB2312"/>
                <w:spacing w:val="-11"/>
                <w:w w:val="95"/>
                <w:sz w:val="28"/>
                <w:szCs w:val="28"/>
                <w:u w:val="single" w:color="auto"/>
              </w:rPr>
              <w:t>40</w:t>
            </w:r>
          </w:p>
        </w:tc>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w w:val="96"/>
                <w:sz w:val="28"/>
                <w:szCs w:val="28"/>
                <w:u w:val="single" w:color="auto"/>
              </w:rPr>
              <w:t>40</w:t>
            </w:r>
            <w:r>
              <w:rPr>
                <w:rFonts w:hint="eastAsia" w:ascii="仿宋_GB2312" w:hAnsi="仿宋_GB2312" w:eastAsia="仿宋_GB2312" w:cs="仿宋_GB2312"/>
                <w:spacing w:val="-59"/>
                <w:sz w:val="28"/>
                <w:szCs w:val="28"/>
              </w:rPr>
              <w:t xml:space="preserve"> </w:t>
            </w:r>
            <w:r>
              <w:rPr>
                <w:rFonts w:hint="eastAsia" w:ascii="仿宋_GB2312" w:hAnsi="仿宋_GB2312" w:eastAsia="仿宋_GB2312" w:cs="仿宋_GB2312"/>
                <w:spacing w:val="-11"/>
                <w:w w:val="96"/>
                <w:sz w:val="28"/>
                <w:szCs w:val="28"/>
              </w:rPr>
              <w:t>≤W＜</w:t>
            </w:r>
            <w:r>
              <w:rPr>
                <w:rFonts w:hint="eastAsia" w:ascii="仿宋_GB2312" w:hAnsi="仿宋_GB2312" w:eastAsia="仿宋_GB2312" w:cs="仿宋_GB2312"/>
                <w:spacing w:val="-69"/>
                <w:sz w:val="28"/>
                <w:szCs w:val="28"/>
              </w:rPr>
              <w:t xml:space="preserve"> </w:t>
            </w:r>
            <w:r>
              <w:rPr>
                <w:rFonts w:hint="eastAsia" w:ascii="仿宋_GB2312" w:hAnsi="仿宋_GB2312" w:eastAsia="仿宋_GB2312" w:cs="仿宋_GB2312"/>
                <w:spacing w:val="-11"/>
                <w:w w:val="96"/>
                <w:sz w:val="28"/>
                <w:szCs w:val="28"/>
                <w:u w:val="single" w:color="auto"/>
              </w:rPr>
              <w:t>60</w:t>
            </w:r>
          </w:p>
        </w:tc>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w w:val="95"/>
                <w:sz w:val="28"/>
                <w:szCs w:val="28"/>
                <w:u w:val="single" w:color="auto"/>
              </w:rPr>
              <w:t>60</w:t>
            </w:r>
            <w:r>
              <w:rPr>
                <w:rFonts w:hint="eastAsia" w:ascii="仿宋_GB2312" w:hAnsi="仿宋_GB2312" w:eastAsia="仿宋_GB2312" w:cs="仿宋_GB2312"/>
                <w:spacing w:val="-51"/>
                <w:sz w:val="28"/>
                <w:szCs w:val="28"/>
              </w:rPr>
              <w:t xml:space="preserve"> </w:t>
            </w:r>
            <w:r>
              <w:rPr>
                <w:rFonts w:hint="eastAsia" w:ascii="仿宋_GB2312" w:hAnsi="仿宋_GB2312" w:eastAsia="仿宋_GB2312" w:cs="仿宋_GB2312"/>
                <w:spacing w:val="-11"/>
                <w:w w:val="95"/>
                <w:sz w:val="28"/>
                <w:szCs w:val="28"/>
              </w:rPr>
              <w:t>≤W＜</w:t>
            </w:r>
            <w:r>
              <w:rPr>
                <w:rFonts w:hint="eastAsia" w:ascii="仿宋_GB2312" w:hAnsi="仿宋_GB2312" w:eastAsia="仿宋_GB2312" w:cs="仿宋_GB2312"/>
                <w:spacing w:val="-68"/>
                <w:sz w:val="28"/>
                <w:szCs w:val="28"/>
              </w:rPr>
              <w:t xml:space="preserve"> </w:t>
            </w:r>
            <w:r>
              <w:rPr>
                <w:rFonts w:hint="eastAsia" w:ascii="仿宋_GB2312" w:hAnsi="仿宋_GB2312" w:eastAsia="仿宋_GB2312" w:cs="仿宋_GB2312"/>
                <w:spacing w:val="-11"/>
                <w:w w:val="95"/>
                <w:sz w:val="28"/>
                <w:szCs w:val="28"/>
                <w:u w:val="single" w:color="auto"/>
              </w:rPr>
              <w:t>90</w:t>
            </w:r>
          </w:p>
        </w:tc>
        <w:tc>
          <w:tcPr>
            <w:tcW w:w="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w w:val="93"/>
                <w:sz w:val="28"/>
                <w:szCs w:val="28"/>
                <w:u w:val="single" w:color="auto"/>
              </w:rPr>
              <w:t>90</w:t>
            </w:r>
            <w:r>
              <w:rPr>
                <w:rFonts w:hint="eastAsia" w:ascii="仿宋_GB2312" w:hAnsi="仿宋_GB2312" w:eastAsia="仿宋_GB2312" w:cs="仿宋_GB2312"/>
                <w:spacing w:val="-55"/>
                <w:sz w:val="28"/>
                <w:szCs w:val="28"/>
              </w:rPr>
              <w:t xml:space="preserve"> </w:t>
            </w:r>
            <w:r>
              <w:rPr>
                <w:rFonts w:hint="eastAsia" w:ascii="仿宋_GB2312" w:hAnsi="仿宋_GB2312" w:eastAsia="仿宋_GB2312" w:cs="仿宋_GB2312"/>
                <w:spacing w:val="-11"/>
                <w:w w:val="93"/>
                <w:sz w:val="28"/>
                <w:szCs w:val="28"/>
              </w:rPr>
              <w:t>≤W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34" w:hRule="exact"/>
          <w:jc w:val="center"/>
        </w:trPr>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2"/>
                <w:position w:val="24"/>
                <w:sz w:val="28"/>
                <w:szCs w:val="28"/>
              </w:rPr>
              <w:t>育肥猪</w:t>
            </w:r>
            <w:r>
              <w:rPr>
                <w:rFonts w:hint="eastAsia" w:ascii="仿宋_GB2312" w:hAnsi="仿宋_GB2312" w:eastAsia="仿宋_GB2312" w:cs="仿宋_GB2312"/>
                <w:spacing w:val="-1"/>
                <w:position w:val="24"/>
                <w:sz w:val="28"/>
                <w:szCs w:val="28"/>
              </w:rPr>
              <w:t>尸长</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w:t>
            </w:r>
            <w:r>
              <w:rPr>
                <w:rFonts w:hint="eastAsia" w:ascii="仿宋_GB2312" w:hAnsi="仿宋_GB2312" w:eastAsia="仿宋_GB2312" w:cs="仿宋_GB2312"/>
                <w:spacing w:val="-6"/>
                <w:sz w:val="28"/>
                <w:szCs w:val="28"/>
              </w:rPr>
              <w:t>L) (厘米)</w:t>
            </w:r>
          </w:p>
        </w:tc>
        <w:tc>
          <w:tcPr>
            <w:tcW w:w="15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w w:val="95"/>
                <w:sz w:val="28"/>
                <w:szCs w:val="28"/>
                <w:u w:val="single" w:color="auto"/>
              </w:rPr>
              <w:t>40</w:t>
            </w:r>
            <w:r>
              <w:rPr>
                <w:rFonts w:hint="eastAsia" w:ascii="仿宋_GB2312" w:hAnsi="仿宋_GB2312" w:eastAsia="仿宋_GB2312" w:cs="仿宋_GB2312"/>
                <w:spacing w:val="-49"/>
                <w:sz w:val="28"/>
                <w:szCs w:val="28"/>
              </w:rPr>
              <w:t xml:space="preserve"> </w:t>
            </w:r>
            <w:r>
              <w:rPr>
                <w:rFonts w:hint="eastAsia" w:ascii="仿宋_GB2312" w:hAnsi="仿宋_GB2312" w:eastAsia="仿宋_GB2312" w:cs="仿宋_GB2312"/>
                <w:spacing w:val="-11"/>
                <w:w w:val="95"/>
                <w:sz w:val="28"/>
                <w:szCs w:val="28"/>
              </w:rPr>
              <w:t>≤L＜</w:t>
            </w:r>
            <w:r>
              <w:rPr>
                <w:rFonts w:hint="eastAsia" w:ascii="仿宋_GB2312" w:hAnsi="仿宋_GB2312" w:eastAsia="仿宋_GB2312" w:cs="仿宋_GB2312"/>
                <w:spacing w:val="-67"/>
                <w:sz w:val="28"/>
                <w:szCs w:val="28"/>
              </w:rPr>
              <w:t xml:space="preserve"> </w:t>
            </w:r>
            <w:r>
              <w:rPr>
                <w:rFonts w:hint="eastAsia" w:ascii="仿宋_GB2312" w:hAnsi="仿宋_GB2312" w:eastAsia="仿宋_GB2312" w:cs="仿宋_GB2312"/>
                <w:spacing w:val="-11"/>
                <w:w w:val="95"/>
                <w:sz w:val="28"/>
                <w:szCs w:val="28"/>
                <w:u w:val="single" w:color="auto"/>
              </w:rPr>
              <w:t>50</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w w:val="95"/>
                <w:sz w:val="28"/>
                <w:szCs w:val="28"/>
                <w:u w:val="single" w:color="auto"/>
              </w:rPr>
              <w:t>50</w:t>
            </w:r>
            <w:r>
              <w:rPr>
                <w:rFonts w:hint="eastAsia" w:ascii="仿宋_GB2312" w:hAnsi="仿宋_GB2312" w:eastAsia="仿宋_GB2312" w:cs="仿宋_GB2312"/>
                <w:spacing w:val="-52"/>
                <w:sz w:val="28"/>
                <w:szCs w:val="28"/>
              </w:rPr>
              <w:t xml:space="preserve"> </w:t>
            </w:r>
            <w:r>
              <w:rPr>
                <w:rFonts w:hint="eastAsia" w:ascii="仿宋_GB2312" w:hAnsi="仿宋_GB2312" w:eastAsia="仿宋_GB2312" w:cs="仿宋_GB2312"/>
                <w:spacing w:val="-11"/>
                <w:w w:val="95"/>
                <w:sz w:val="28"/>
                <w:szCs w:val="28"/>
              </w:rPr>
              <w:t>≤L＜</w:t>
            </w:r>
            <w:r>
              <w:rPr>
                <w:rFonts w:hint="eastAsia" w:ascii="仿宋_GB2312" w:hAnsi="仿宋_GB2312" w:eastAsia="仿宋_GB2312" w:cs="仿宋_GB2312"/>
                <w:spacing w:val="-68"/>
                <w:sz w:val="28"/>
                <w:szCs w:val="28"/>
              </w:rPr>
              <w:t xml:space="preserve"> </w:t>
            </w:r>
            <w:r>
              <w:rPr>
                <w:rFonts w:hint="eastAsia" w:ascii="仿宋_GB2312" w:hAnsi="仿宋_GB2312" w:eastAsia="仿宋_GB2312" w:cs="仿宋_GB2312"/>
                <w:spacing w:val="-11"/>
                <w:w w:val="95"/>
                <w:sz w:val="28"/>
                <w:szCs w:val="28"/>
                <w:u w:val="single" w:color="auto"/>
              </w:rPr>
              <w:t>70</w:t>
            </w:r>
          </w:p>
        </w:tc>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w w:val="95"/>
                <w:sz w:val="28"/>
                <w:szCs w:val="28"/>
                <w:u w:val="single" w:color="auto"/>
              </w:rPr>
              <w:t>70</w:t>
            </w:r>
            <w:r>
              <w:rPr>
                <w:rFonts w:hint="eastAsia" w:ascii="仿宋_GB2312" w:hAnsi="仿宋_GB2312" w:eastAsia="仿宋_GB2312" w:cs="仿宋_GB2312"/>
                <w:spacing w:val="-51"/>
                <w:sz w:val="28"/>
                <w:szCs w:val="28"/>
              </w:rPr>
              <w:t xml:space="preserve"> </w:t>
            </w:r>
            <w:r>
              <w:rPr>
                <w:rFonts w:hint="eastAsia" w:ascii="仿宋_GB2312" w:hAnsi="仿宋_GB2312" w:eastAsia="仿宋_GB2312" w:cs="仿宋_GB2312"/>
                <w:spacing w:val="-11"/>
                <w:w w:val="95"/>
                <w:sz w:val="28"/>
                <w:szCs w:val="28"/>
              </w:rPr>
              <w:t>≤L＜</w:t>
            </w:r>
            <w:r>
              <w:rPr>
                <w:rFonts w:hint="eastAsia" w:ascii="仿宋_GB2312" w:hAnsi="仿宋_GB2312" w:eastAsia="仿宋_GB2312" w:cs="仿宋_GB2312"/>
                <w:spacing w:val="-69"/>
                <w:sz w:val="28"/>
                <w:szCs w:val="28"/>
              </w:rPr>
              <w:t xml:space="preserve"> </w:t>
            </w:r>
            <w:r>
              <w:rPr>
                <w:rFonts w:hint="eastAsia" w:ascii="仿宋_GB2312" w:hAnsi="仿宋_GB2312" w:eastAsia="仿宋_GB2312" w:cs="仿宋_GB2312"/>
                <w:spacing w:val="-11"/>
                <w:w w:val="95"/>
                <w:sz w:val="28"/>
                <w:szCs w:val="28"/>
                <w:u w:val="single" w:color="auto"/>
              </w:rPr>
              <w:t>90</w:t>
            </w:r>
          </w:p>
        </w:tc>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w w:val="96"/>
                <w:sz w:val="28"/>
                <w:szCs w:val="28"/>
                <w:u w:val="single" w:color="auto"/>
              </w:rPr>
              <w:t>90</w:t>
            </w:r>
            <w:r>
              <w:rPr>
                <w:rFonts w:hint="eastAsia" w:ascii="仿宋_GB2312" w:hAnsi="仿宋_GB2312" w:eastAsia="仿宋_GB2312" w:cs="仿宋_GB2312"/>
                <w:spacing w:val="-52"/>
                <w:sz w:val="28"/>
                <w:szCs w:val="28"/>
              </w:rPr>
              <w:t xml:space="preserve"> </w:t>
            </w:r>
            <w:r>
              <w:rPr>
                <w:rFonts w:hint="eastAsia" w:ascii="仿宋_GB2312" w:hAnsi="仿宋_GB2312" w:eastAsia="仿宋_GB2312" w:cs="仿宋_GB2312"/>
                <w:spacing w:val="-11"/>
                <w:w w:val="96"/>
                <w:sz w:val="28"/>
                <w:szCs w:val="28"/>
              </w:rPr>
              <w:t>≤L＜</w:t>
            </w:r>
            <w:r>
              <w:rPr>
                <w:rFonts w:hint="eastAsia" w:ascii="仿宋_GB2312" w:hAnsi="仿宋_GB2312" w:eastAsia="仿宋_GB2312" w:cs="仿宋_GB2312"/>
                <w:spacing w:val="-64"/>
                <w:sz w:val="28"/>
                <w:szCs w:val="28"/>
              </w:rPr>
              <w:t xml:space="preserve"> </w:t>
            </w:r>
            <w:r>
              <w:rPr>
                <w:rFonts w:hint="eastAsia" w:ascii="仿宋_GB2312" w:hAnsi="仿宋_GB2312" w:eastAsia="仿宋_GB2312" w:cs="仿宋_GB2312"/>
                <w:spacing w:val="-11"/>
                <w:w w:val="96"/>
                <w:sz w:val="28"/>
                <w:szCs w:val="28"/>
                <w:u w:val="single" w:color="auto"/>
              </w:rPr>
              <w:t>110</w:t>
            </w:r>
          </w:p>
        </w:tc>
        <w:tc>
          <w:tcPr>
            <w:tcW w:w="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w w:val="95"/>
                <w:sz w:val="28"/>
                <w:szCs w:val="28"/>
                <w:u w:val="single" w:color="auto"/>
              </w:rPr>
              <w:t>110</w:t>
            </w:r>
            <w:r>
              <w:rPr>
                <w:rFonts w:hint="eastAsia" w:ascii="仿宋_GB2312" w:hAnsi="仿宋_GB2312" w:eastAsia="仿宋_GB2312" w:cs="仿宋_GB2312"/>
                <w:spacing w:val="-54"/>
                <w:sz w:val="28"/>
                <w:szCs w:val="28"/>
              </w:rPr>
              <w:t xml:space="preserve"> </w:t>
            </w:r>
            <w:r>
              <w:rPr>
                <w:rFonts w:hint="eastAsia" w:ascii="仿宋_GB2312" w:hAnsi="仿宋_GB2312" w:eastAsia="仿宋_GB2312" w:cs="仿宋_GB2312"/>
                <w:spacing w:val="-11"/>
                <w:w w:val="95"/>
                <w:sz w:val="28"/>
                <w:szCs w:val="28"/>
              </w:rPr>
              <w:t>≤L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34" w:hRule="exact"/>
          <w:jc w:val="center"/>
        </w:trPr>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赔</w:t>
            </w:r>
            <w:r>
              <w:rPr>
                <w:rFonts w:hint="eastAsia" w:ascii="仿宋_GB2312" w:hAnsi="仿宋_GB2312" w:eastAsia="仿宋_GB2312" w:cs="仿宋_GB2312"/>
                <w:spacing w:val="-1"/>
                <w:sz w:val="28"/>
                <w:szCs w:val="28"/>
              </w:rPr>
              <w:t>偿比例</w:t>
            </w:r>
          </w:p>
        </w:tc>
        <w:tc>
          <w:tcPr>
            <w:tcW w:w="15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u w:val="single" w:color="auto"/>
              </w:rPr>
              <w:t>20</w:t>
            </w:r>
            <w:r>
              <w:rPr>
                <w:rFonts w:hint="eastAsia" w:ascii="仿宋_GB2312" w:hAnsi="仿宋_GB2312" w:eastAsia="仿宋_GB2312" w:cs="仿宋_GB2312"/>
                <w:spacing w:val="-3"/>
                <w:sz w:val="28"/>
                <w:szCs w:val="28"/>
                <w:u w:val="single" w:color="auto"/>
              </w:rPr>
              <w:t>%</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u w:val="single" w:color="auto"/>
              </w:rPr>
              <w:t>3</w:t>
            </w:r>
            <w:r>
              <w:rPr>
                <w:rFonts w:hint="eastAsia" w:ascii="仿宋_GB2312" w:hAnsi="仿宋_GB2312" w:eastAsia="仿宋_GB2312" w:cs="仿宋_GB2312"/>
                <w:spacing w:val="-4"/>
                <w:sz w:val="28"/>
                <w:szCs w:val="28"/>
                <w:u w:val="single" w:color="auto"/>
              </w:rPr>
              <w:t>0%</w:t>
            </w:r>
          </w:p>
        </w:tc>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u w:val="single" w:color="auto"/>
              </w:rPr>
              <w:t>40%</w:t>
            </w:r>
          </w:p>
        </w:tc>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u w:val="single" w:color="auto"/>
                <w:lang w:val="en-US" w:eastAsia="zh-CN"/>
              </w:rPr>
              <w:t>8</w:t>
            </w:r>
            <w:r>
              <w:rPr>
                <w:rFonts w:hint="eastAsia" w:ascii="仿宋_GB2312" w:hAnsi="仿宋_GB2312" w:eastAsia="仿宋_GB2312" w:cs="仿宋_GB2312"/>
                <w:spacing w:val="-5"/>
                <w:sz w:val="28"/>
                <w:szCs w:val="28"/>
                <w:u w:val="single" w:color="auto"/>
              </w:rPr>
              <w:t>0%</w:t>
            </w:r>
          </w:p>
        </w:tc>
        <w:tc>
          <w:tcPr>
            <w:tcW w:w="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u w:val="single" w:color="auto"/>
              </w:rPr>
              <w:t>1</w:t>
            </w:r>
            <w:r>
              <w:rPr>
                <w:rFonts w:hint="eastAsia" w:ascii="仿宋_GB2312" w:hAnsi="仿宋_GB2312" w:eastAsia="仿宋_GB2312" w:cs="仿宋_GB2312"/>
                <w:spacing w:val="-4"/>
                <w:sz w:val="28"/>
                <w:szCs w:val="28"/>
                <w:u w:val="single" w:color="auto"/>
              </w:rPr>
              <w:t>00%</w:t>
            </w:r>
          </w:p>
        </w:tc>
      </w:tr>
    </w:tbl>
    <w:p>
      <w:pPr>
        <w:keepNext w:val="0"/>
        <w:keepLines w:val="0"/>
        <w:pageBreakBefore w:val="0"/>
        <w:widowControl/>
        <w:kinsoku/>
        <w:wordWrap/>
        <w:overflowPunct/>
        <w:topLinePunct w:val="0"/>
        <w:bidi w:val="0"/>
        <w:snapToGrid/>
        <w:spacing w:line="360" w:lineRule="auto"/>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zh-CN"/>
        </w:rPr>
        <w:t>（二）</w:t>
      </w:r>
      <w:r>
        <w:rPr>
          <w:rFonts w:hint="eastAsia" w:ascii="仿宋_GB2312" w:hAnsi="仿宋_GB2312" w:eastAsia="仿宋_GB2312" w:cs="仿宋_GB2312"/>
          <w:b/>
          <w:color w:val="000000"/>
          <w:sz w:val="32"/>
          <w:szCs w:val="32"/>
        </w:rPr>
        <w:t>无法确定保险育肥猪尸重/尸长时：</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如发生洪水等大灾，保险育肥猪流失无法确定尸重/尸长时，按照保险育肥猪事故发生时的已饲养天数进行赔偿：</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每头赔偿金额=（事故发生时的已饲养天数/育肥猪平均饲养天数）×每头保险金额</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赔偿金额=∑每头赔偿金额</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“育肥猪平均饲养天数”参照当地育肥猪历史平均饲养天数，由投保人和保险人协商确定。 </w:t>
      </w:r>
    </w:p>
    <w:p>
      <w:pPr>
        <w:keepNext w:val="0"/>
        <w:keepLines w:val="0"/>
        <w:pageBreakBefore w:val="0"/>
        <w:widowControl/>
        <w:kinsoku/>
        <w:wordWrap/>
        <w:overflowPunct/>
        <w:topLinePunct w:val="0"/>
        <w:bidi w:val="0"/>
        <w:snapToGrid/>
        <w:spacing w:line="360" w:lineRule="auto"/>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保险育肥猪的每头赔偿金额以每头保险金额为限。</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（三）发生第五条列明的扑杀事故，赔偿金额计算如下：</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每头赔偿金额=每头保险金额×不同尸重/尸长范围每头保险育肥猪赔偿比例-每头育肥猪政府扑杀专项补贴金额</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赔偿金额=∑每头赔偿金额</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b/>
          <w:color w:val="000000"/>
          <w:sz w:val="32"/>
          <w:szCs w:val="32"/>
        </w:rPr>
      </w:pPr>
      <w:r>
        <w:rPr>
          <w:rFonts w:hint="eastAsia" w:ascii="黑体" w:hAnsi="黑体" w:eastAsia="黑体" w:cs="黑体"/>
          <w:b w:val="0"/>
          <w:bCs w:val="0"/>
          <w:color w:val="000000"/>
          <w:sz w:val="32"/>
          <w:szCs w:val="32"/>
        </w:rPr>
        <w:t>第二十</w:t>
      </w: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条</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 xml:space="preserve"> </w:t>
      </w:r>
      <w:r>
        <w:rPr>
          <w:rFonts w:hint="eastAsia" w:ascii="仿宋_GB2312" w:hAnsi="仿宋_GB2312" w:eastAsia="仿宋_GB2312" w:cs="仿宋_GB2312"/>
          <w:color w:val="000000"/>
          <w:sz w:val="32"/>
          <w:szCs w:val="32"/>
        </w:rPr>
        <w:t>发生保险事故时，</w:t>
      </w:r>
      <w:r>
        <w:rPr>
          <w:rFonts w:hint="eastAsia" w:ascii="仿宋_GB2312" w:hAnsi="仿宋_GB2312" w:eastAsia="仿宋_GB2312" w:cs="仿宋_GB2312"/>
          <w:b/>
          <w:color w:val="000000"/>
          <w:sz w:val="32"/>
          <w:szCs w:val="32"/>
        </w:rPr>
        <w:t>若每批次保险育肥猪数量（按批次投保时为保险单载明的保险数量，按年投保时为保险单载明的保险数量/年投保批次数）小于本次出险时该批次实际存栏数、且无法区分保险育肥猪与非保险育肥猪的，保险人基于本次出险时实际死亡的育肥猪数量，按每批次保险育肥猪数量扣除该批次保险育肥猪本次出险前已赔付数量与本次出险时实际存栏数的比例来确定赔偿数量；若每批次育肥猪出栏数量大于等于本次出险时实际存栏数时，保险人按本次出险时实际死亡的育肥猪数量来确定赔偿数量。</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实际存栏数</w:t>
      </w:r>
      <w:r>
        <w:rPr>
          <w:rFonts w:hint="eastAsia" w:ascii="仿宋_GB2312" w:hAnsi="仿宋_GB2312" w:eastAsia="仿宋_GB2312" w:cs="仿宋_GB2312"/>
          <w:sz w:val="32"/>
          <w:szCs w:val="32"/>
        </w:rPr>
        <w:t>指符合本保险条款</w:t>
      </w:r>
      <w:r>
        <w:rPr>
          <w:rFonts w:hint="eastAsia" w:ascii="仿宋_GB2312" w:hAnsi="仿宋_GB2312" w:eastAsia="仿宋_GB2312" w:cs="仿宋_GB2312"/>
          <w:sz w:val="32"/>
          <w:szCs w:val="32"/>
          <w:u w:val="none"/>
        </w:rPr>
        <w:t>第三条</w:t>
      </w:r>
      <w:r>
        <w:rPr>
          <w:rFonts w:hint="eastAsia" w:ascii="仿宋_GB2312" w:hAnsi="仿宋_GB2312" w:eastAsia="仿宋_GB2312" w:cs="仿宋_GB2312"/>
          <w:sz w:val="32"/>
          <w:szCs w:val="32"/>
        </w:rPr>
        <w:t>约定的保险育肥猪实际存栏数量。</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b/>
          <w:color w:val="000000"/>
          <w:sz w:val="32"/>
          <w:szCs w:val="32"/>
        </w:rPr>
      </w:pPr>
      <w:r>
        <w:rPr>
          <w:rFonts w:hint="eastAsia" w:ascii="黑体" w:hAnsi="黑体" w:eastAsia="黑体" w:cs="黑体"/>
          <w:b w:val="0"/>
          <w:color w:val="000000"/>
          <w:sz w:val="32"/>
          <w:szCs w:val="32"/>
        </w:rPr>
        <w:t>第二十</w:t>
      </w:r>
      <w:r>
        <w:rPr>
          <w:rFonts w:hint="eastAsia" w:ascii="黑体" w:hAnsi="黑体" w:eastAsia="黑体" w:cs="黑体"/>
          <w:b w:val="0"/>
          <w:color w:val="000000"/>
          <w:sz w:val="32"/>
          <w:szCs w:val="32"/>
          <w:lang w:val="en-US" w:eastAsia="zh-CN"/>
        </w:rPr>
        <w:t>七</w:t>
      </w:r>
      <w:r>
        <w:rPr>
          <w:rFonts w:hint="eastAsia" w:ascii="黑体" w:hAnsi="黑体" w:eastAsia="黑体" w:cs="黑体"/>
          <w:b w:val="0"/>
          <w:color w:val="000000"/>
          <w:sz w:val="32"/>
          <w:szCs w:val="32"/>
        </w:rPr>
        <w:t>条</w:t>
      </w:r>
      <w:r>
        <w:rPr>
          <w:rFonts w:hint="eastAsia" w:ascii="黑体" w:hAnsi="黑体" w:eastAsia="黑体" w:cs="黑体"/>
          <w:b w:val="0"/>
          <w:color w:val="000000"/>
          <w:sz w:val="32"/>
          <w:szCs w:val="32"/>
          <w:lang w:val="en-US" w:eastAsia="zh-CN"/>
        </w:rPr>
        <w:t xml:space="preserve"> </w:t>
      </w:r>
      <w:r>
        <w:rPr>
          <w:rFonts w:hint="eastAsia" w:ascii="黑体" w:hAnsi="黑体" w:eastAsia="黑体" w:cs="黑体"/>
          <w:b w:val="0"/>
          <w:color w:val="000000"/>
          <w:sz w:val="32"/>
          <w:szCs w:val="32"/>
        </w:rPr>
        <w:t xml:space="preserve"> </w:t>
      </w:r>
      <w:r>
        <w:rPr>
          <w:rFonts w:hint="eastAsia" w:ascii="仿宋_GB2312" w:hAnsi="仿宋_GB2312" w:eastAsia="仿宋_GB2312" w:cs="仿宋_GB2312"/>
          <w:color w:val="000000"/>
          <w:sz w:val="32"/>
          <w:szCs w:val="32"/>
        </w:rPr>
        <w:t>发生保险事故时，</w:t>
      </w:r>
      <w:r>
        <w:rPr>
          <w:rFonts w:hint="eastAsia" w:ascii="仿宋_GB2312" w:hAnsi="仿宋_GB2312" w:eastAsia="仿宋_GB2312" w:cs="仿宋_GB2312"/>
          <w:b/>
          <w:color w:val="000000"/>
          <w:sz w:val="32"/>
          <w:szCs w:val="32"/>
        </w:rPr>
        <w:t>若保险育肥猪每头保险金额低于或等于出险时的实际价值，则以每头保险金额为赔偿计算标准；若保险育肥猪每头保险金额高于出险时的实际价值，则以出险时的实际价值为赔偿计算标准。</w:t>
      </w:r>
    </w:p>
    <w:p>
      <w:pPr>
        <w:keepNext w:val="0"/>
        <w:keepLines w:val="0"/>
        <w:pageBreakBefore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color w:val="000000"/>
          <w:sz w:val="32"/>
          <w:szCs w:val="32"/>
        </w:rPr>
        <w:t>第二十</w:t>
      </w:r>
      <w:r>
        <w:rPr>
          <w:rFonts w:hint="eastAsia" w:ascii="黑体" w:hAnsi="黑体" w:eastAsia="黑体" w:cs="黑体"/>
          <w:b w:val="0"/>
          <w:color w:val="000000"/>
          <w:sz w:val="32"/>
          <w:szCs w:val="32"/>
          <w:lang w:val="en-US" w:eastAsia="zh-CN"/>
        </w:rPr>
        <w:t>八</w:t>
      </w:r>
      <w:r>
        <w:rPr>
          <w:rFonts w:hint="eastAsia" w:ascii="黑体" w:hAnsi="黑体" w:eastAsia="黑体" w:cs="黑体"/>
          <w:b w:val="0"/>
          <w:color w:val="000000"/>
          <w:sz w:val="32"/>
          <w:szCs w:val="32"/>
        </w:rPr>
        <w:t xml:space="preserve">条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sz w:val="32"/>
          <w:szCs w:val="32"/>
        </w:rPr>
        <w:t>保险事故发生时，</w:t>
      </w:r>
      <w:r>
        <w:rPr>
          <w:rFonts w:hint="eastAsia" w:ascii="仿宋_GB2312" w:hAnsi="仿宋_GB2312" w:eastAsia="仿宋_GB2312" w:cs="仿宋_GB2312"/>
          <w:b/>
          <w:sz w:val="32"/>
          <w:szCs w:val="32"/>
        </w:rPr>
        <w:t>如果存在重复保险，保险人按照本保险合同的相应保险金额与所有有关保险合同的相应保险金额总和的比例承担赔偿责任。</w:t>
      </w:r>
    </w:p>
    <w:p>
      <w:pPr>
        <w:keepNext w:val="0"/>
        <w:keepLines w:val="0"/>
        <w:pageBreakBefore w:val="0"/>
        <w:kinsoku/>
        <w:wordWrap/>
        <w:overflowPunct/>
        <w:topLinePunct w:val="0"/>
        <w:bidi w:val="0"/>
        <w:adjustRightInd w:val="0"/>
        <w:snapToGrid/>
        <w:spacing w:line="36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其他保险人应承担的赔偿金额，本保险人不负责垫付。</w:t>
      </w:r>
      <w:r>
        <w:rPr>
          <w:rFonts w:hint="eastAsia" w:ascii="仿宋_GB2312" w:hAnsi="仿宋_GB2312" w:eastAsia="仿宋_GB2312" w:cs="仿宋_GB2312"/>
          <w:b/>
          <w:kern w:val="0"/>
          <w:sz w:val="32"/>
          <w:szCs w:val="32"/>
        </w:rPr>
        <w:t>若被保险人未如实告知导致保险人多支付赔偿金的，保险人有权向被保险人追回多支付的部分。</w:t>
      </w:r>
    </w:p>
    <w:p>
      <w:pPr>
        <w:keepNext w:val="0"/>
        <w:keepLines w:val="0"/>
        <w:pageBreakBefore w:val="0"/>
        <w:kinsoku/>
        <w:wordWrap/>
        <w:overflowPunct/>
        <w:topLinePunct w:val="0"/>
        <w:bidi w:val="0"/>
        <w:spacing w:line="360" w:lineRule="auto"/>
        <w:ind w:firstLine="640" w:firstLineChars="200"/>
        <w:jc w:val="both"/>
        <w:textAlignment w:val="auto"/>
        <w:rPr>
          <w:rFonts w:hint="eastAsia" w:ascii="仿宋_GB2312" w:hAnsi="仿宋_GB2312" w:eastAsia="仿宋_GB2312" w:cs="仿宋_GB2312"/>
          <w:b/>
          <w:color w:val="000000"/>
          <w:sz w:val="32"/>
          <w:szCs w:val="32"/>
        </w:rPr>
      </w:pPr>
      <w:r>
        <w:rPr>
          <w:rFonts w:hint="eastAsia" w:ascii="黑体" w:hAnsi="黑体" w:eastAsia="黑体" w:cs="黑体"/>
          <w:b w:val="0"/>
          <w:color w:val="000000"/>
          <w:sz w:val="32"/>
          <w:szCs w:val="32"/>
        </w:rPr>
        <w:t>第</w:t>
      </w:r>
      <w:r>
        <w:rPr>
          <w:rFonts w:hint="eastAsia" w:ascii="黑体" w:hAnsi="黑体" w:eastAsia="黑体" w:cs="黑体"/>
          <w:b w:val="0"/>
          <w:color w:val="000000"/>
          <w:sz w:val="32"/>
          <w:szCs w:val="32"/>
          <w:lang w:val="en-US" w:eastAsia="zh-CN"/>
        </w:rPr>
        <w:t>二十九</w:t>
      </w:r>
      <w:r>
        <w:rPr>
          <w:rFonts w:hint="eastAsia" w:ascii="黑体" w:hAnsi="黑体" w:eastAsia="黑体" w:cs="黑体"/>
          <w:b w:val="0"/>
          <w:color w:val="000000"/>
          <w:sz w:val="32"/>
          <w:szCs w:val="32"/>
        </w:rPr>
        <w:t xml:space="preserve">条 </w:t>
      </w:r>
      <w:r>
        <w:rPr>
          <w:rFonts w:hint="eastAsia" w:ascii="黑体" w:hAnsi="黑体" w:eastAsia="黑体" w:cs="黑体"/>
          <w:b w:val="0"/>
          <w:color w:val="000000"/>
          <w:sz w:val="32"/>
          <w:szCs w:val="32"/>
          <w:lang w:val="en-US" w:eastAsia="zh-CN"/>
        </w:rPr>
        <w:t xml:space="preserve"> </w:t>
      </w:r>
      <w:r>
        <w:rPr>
          <w:rFonts w:hint="eastAsia" w:ascii="仿宋_GB2312" w:hAnsi="仿宋_GB2312" w:eastAsia="仿宋_GB2312" w:cs="仿宋_GB2312"/>
          <w:color w:val="000000"/>
          <w:sz w:val="32"/>
          <w:szCs w:val="32"/>
        </w:rPr>
        <w:t>保险育肥猪发生部分损失，</w:t>
      </w:r>
      <w:r>
        <w:rPr>
          <w:rFonts w:hint="eastAsia" w:ascii="仿宋_GB2312" w:hAnsi="仿宋_GB2312" w:eastAsia="仿宋_GB2312" w:cs="仿宋_GB2312"/>
          <w:b/>
          <w:color w:val="000000"/>
          <w:sz w:val="32"/>
          <w:szCs w:val="32"/>
        </w:rPr>
        <w:t>保险人履行赔偿义务后，本保险合同的保险金额、保险数量自损失发生之日起相应减少，保险人不退还保险金额减少部分的保险费。</w:t>
      </w:r>
    </w:p>
    <w:p>
      <w:pPr>
        <w:keepNext w:val="0"/>
        <w:keepLines w:val="0"/>
        <w:pageBreakBefore w:val="0"/>
        <w:tabs>
          <w:tab w:val="left" w:pos="900"/>
        </w:tabs>
        <w:kinsoku/>
        <w:wordWrap/>
        <w:overflowPunct/>
        <w:topLinePunct w:val="0"/>
        <w:autoSpaceDE w:val="0"/>
        <w:autoSpaceDN w:val="0"/>
        <w:bidi w:val="0"/>
        <w:snapToGrid/>
        <w:spacing w:line="360" w:lineRule="auto"/>
        <w:ind w:firstLine="627" w:firstLineChars="196"/>
        <w:jc w:val="both"/>
        <w:textAlignment w:val="auto"/>
        <w:rPr>
          <w:rFonts w:hint="eastAsia" w:ascii="仿宋_GB2312" w:hAnsi="仿宋_GB2312" w:eastAsia="仿宋_GB2312" w:cs="仿宋_GB2312"/>
          <w:b/>
          <w:color w:val="000000"/>
          <w:sz w:val="32"/>
          <w:szCs w:val="32"/>
        </w:rPr>
      </w:pPr>
      <w:r>
        <w:rPr>
          <w:rFonts w:hint="eastAsia" w:ascii="黑体" w:hAnsi="黑体" w:eastAsia="黑体" w:cs="黑体"/>
          <w:b w:val="0"/>
          <w:color w:val="000000"/>
          <w:sz w:val="32"/>
          <w:szCs w:val="32"/>
        </w:rPr>
        <w:t>第三十条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
          <w:bCs/>
          <w:sz w:val="32"/>
          <w:szCs w:val="32"/>
        </w:rPr>
        <w:t>未发生保险事故，被保险人谎称发生了保险事故，向保险人提出赔偿请求的，保险人有权解除保险合同，并不退还保险费。</w:t>
      </w:r>
    </w:p>
    <w:p>
      <w:pPr>
        <w:keepNext w:val="0"/>
        <w:keepLines w:val="0"/>
        <w:pageBreakBefore w:val="0"/>
        <w:kinsoku/>
        <w:wordWrap/>
        <w:overflowPunct/>
        <w:topLinePunct w:val="0"/>
        <w:autoSpaceDE w:val="0"/>
        <w:autoSpaceDN w:val="0"/>
        <w:bidi w:val="0"/>
        <w:adjustRightInd w:val="0"/>
        <w:snapToGrid/>
        <w:spacing w:line="360" w:lineRule="auto"/>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投保人、被保险人故意制造保险事故的，保险人有权解除保险合同，不承担赔偿责任，不退还保险费。</w:t>
      </w:r>
    </w:p>
    <w:p>
      <w:pPr>
        <w:keepNext w:val="0"/>
        <w:keepLines w:val="0"/>
        <w:pageBreakBefore w:val="0"/>
        <w:kinsoku/>
        <w:wordWrap/>
        <w:overflowPunct/>
        <w:topLinePunct w:val="0"/>
        <w:autoSpaceDE w:val="0"/>
        <w:autoSpaceDN w:val="0"/>
        <w:bidi w:val="0"/>
        <w:adjustRightInd w:val="0"/>
        <w:snapToGrid/>
        <w:spacing w:line="360" w:lineRule="auto"/>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tabs>
          <w:tab w:val="left" w:pos="2160"/>
        </w:tabs>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b/>
          <w:color w:val="000000"/>
          <w:kern w:val="0"/>
          <w:sz w:val="32"/>
          <w:szCs w:val="32"/>
        </w:rPr>
      </w:pPr>
      <w:r>
        <w:rPr>
          <w:rFonts w:hint="eastAsia" w:ascii="黑体" w:hAnsi="黑体" w:eastAsia="黑体" w:cs="黑体"/>
          <w:b w:val="0"/>
          <w:sz w:val="32"/>
          <w:szCs w:val="32"/>
        </w:rPr>
        <w:t>第三十</w:t>
      </w:r>
      <w:r>
        <w:rPr>
          <w:rFonts w:hint="eastAsia" w:ascii="黑体" w:hAnsi="黑体" w:eastAsia="黑体" w:cs="黑体"/>
          <w:b w:val="0"/>
          <w:sz w:val="32"/>
          <w:szCs w:val="32"/>
          <w:lang w:val="en-US" w:eastAsia="zh-CN"/>
        </w:rPr>
        <w:t>一</w:t>
      </w:r>
      <w:r>
        <w:rPr>
          <w:rFonts w:hint="eastAsia" w:ascii="黑体" w:hAnsi="黑体" w:eastAsia="黑体" w:cs="黑体"/>
          <w:b w:val="0"/>
          <w:sz w:val="32"/>
          <w:szCs w:val="32"/>
        </w:rPr>
        <w:t>条</w:t>
      </w:r>
      <w:r>
        <w:rPr>
          <w:rFonts w:hint="eastAsia" w:ascii="黑体" w:hAnsi="黑体" w:eastAsia="黑体" w:cs="黑体"/>
          <w:b w:val="0"/>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color w:val="000000"/>
          <w:kern w:val="0"/>
          <w:sz w:val="32"/>
          <w:szCs w:val="32"/>
        </w:rPr>
        <w:t>发生保险责任范围内的损失，应由有关责任方负责赔偿的，被保险人应行使或者保留向该责任方请求赔偿的权利。</w:t>
      </w:r>
      <w:r>
        <w:rPr>
          <w:rFonts w:hint="eastAsia" w:ascii="仿宋_GB2312" w:hAnsi="仿宋_GB2312" w:eastAsia="仿宋_GB2312" w:cs="仿宋_GB2312"/>
          <w:b/>
          <w:color w:val="000000"/>
          <w:kern w:val="0"/>
          <w:sz w:val="32"/>
          <w:szCs w:val="32"/>
        </w:rPr>
        <w:t>保险事故发生后，保险人未履行赔偿义务之前，被保险人放弃对有关责任方请求赔偿的权利的，保险人不承担赔偿责任。</w:t>
      </w:r>
    </w:p>
    <w:p>
      <w:pPr>
        <w:keepNext w:val="0"/>
        <w:keepLines w:val="0"/>
        <w:pageBreakBefore w:val="0"/>
        <w:tabs>
          <w:tab w:val="left" w:pos="2160"/>
        </w:tabs>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保险人向被保险人赔偿保险金后，被保险人未经保险人同意放弃对第三者请求赔偿的权利的，该行为无效。</w:t>
      </w:r>
    </w:p>
    <w:p>
      <w:pPr>
        <w:keepNext w:val="0"/>
        <w:keepLines w:val="0"/>
        <w:pageBreakBefore w:val="0"/>
        <w:tabs>
          <w:tab w:val="left" w:pos="2160"/>
        </w:tabs>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在保险人向有关责任方行使代位请求赔偿权利时，被保险人应当向保险人提供必要的文件和所知</w:t>
      </w:r>
      <w:r>
        <w:rPr>
          <w:rFonts w:hint="eastAsia" w:ascii="仿宋_GB2312" w:hAnsi="仿宋_GB2312" w:eastAsia="仿宋_GB2312" w:cs="仿宋_GB2312"/>
          <w:color w:val="000000"/>
          <w:kern w:val="0"/>
          <w:sz w:val="32"/>
          <w:szCs w:val="32"/>
          <w:lang w:val="en-US" w:eastAsia="zh-CN"/>
        </w:rPr>
        <w:t>悉</w:t>
      </w:r>
      <w:r>
        <w:rPr>
          <w:rFonts w:hint="eastAsia" w:ascii="仿宋_GB2312" w:hAnsi="仿宋_GB2312" w:eastAsia="仿宋_GB2312" w:cs="仿宋_GB2312"/>
          <w:color w:val="000000"/>
          <w:kern w:val="0"/>
          <w:sz w:val="32"/>
          <w:szCs w:val="32"/>
        </w:rPr>
        <w:t>的有关情况。</w:t>
      </w:r>
    </w:p>
    <w:p>
      <w:pPr>
        <w:keepNext w:val="0"/>
        <w:keepLines w:val="0"/>
        <w:pageBreakBefore w:val="0"/>
        <w:tabs>
          <w:tab w:val="left" w:pos="2160"/>
        </w:tabs>
        <w:kinsoku/>
        <w:wordWrap/>
        <w:overflowPunct/>
        <w:topLinePunct w:val="0"/>
        <w:bidi w:val="0"/>
        <w:adjustRightInd w:val="0"/>
        <w:snapToGrid/>
        <w:spacing w:line="360" w:lineRule="auto"/>
        <w:ind w:firstLine="643"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由于被保险人的故意或者重大过失致使保险人不能行使代位请求赔偿的权利的，保险人可以扣减或者要求返还相应的赔偿金额。</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黑体"/>
          <w:b w:val="0"/>
          <w:sz w:val="32"/>
          <w:szCs w:val="32"/>
        </w:rPr>
        <w:t>第三十</w:t>
      </w:r>
      <w:r>
        <w:rPr>
          <w:rFonts w:hint="eastAsia" w:ascii="黑体" w:hAnsi="黑体" w:eastAsia="黑体" w:cs="黑体"/>
          <w:b w:val="0"/>
          <w:sz w:val="32"/>
          <w:szCs w:val="32"/>
          <w:lang w:val="en-US" w:eastAsia="zh-CN"/>
        </w:rPr>
        <w:t>二</w:t>
      </w:r>
      <w:r>
        <w:rPr>
          <w:rFonts w:hint="eastAsia" w:ascii="黑体" w:hAnsi="黑体" w:eastAsia="黑体" w:cs="黑体"/>
          <w:b w:val="0"/>
          <w:sz w:val="32"/>
          <w:szCs w:val="32"/>
        </w:rPr>
        <w:t xml:space="preserve">条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color w:val="000000"/>
          <w:kern w:val="0"/>
          <w:sz w:val="32"/>
          <w:szCs w:val="32"/>
        </w:rPr>
        <w:t>被保险人向保险人请求赔偿的诉讼时效适用现行有效法律规定。</w:t>
      </w:r>
    </w:p>
    <w:p>
      <w:pPr>
        <w:keepNext w:val="0"/>
        <w:keepLines w:val="0"/>
        <w:pageBreakBefore w:val="0"/>
        <w:tabs>
          <w:tab w:val="left" w:pos="4500"/>
        </w:tabs>
        <w:kinsoku/>
        <w:wordWrap/>
        <w:overflowPunct/>
        <w:topLinePunct w:val="0"/>
        <w:bidi w:val="0"/>
        <w:snapToGrid w:val="0"/>
        <w:spacing w:line="360" w:lineRule="auto"/>
        <w:jc w:val="center"/>
        <w:textAlignment w:val="auto"/>
        <w:rPr>
          <w:rFonts w:hint="eastAsia" w:ascii="黑体" w:hAnsi="黑体" w:eastAsia="黑体" w:cs="黑体"/>
          <w:b w:val="0"/>
          <w:bCs w:val="0"/>
          <w:sz w:val="32"/>
          <w:szCs w:val="32"/>
        </w:rPr>
      </w:pPr>
    </w:p>
    <w:p>
      <w:pPr>
        <w:keepNext w:val="0"/>
        <w:keepLines w:val="0"/>
        <w:pageBreakBefore w:val="0"/>
        <w:tabs>
          <w:tab w:val="left" w:pos="4500"/>
        </w:tabs>
        <w:kinsoku/>
        <w:wordWrap/>
        <w:overflowPunct/>
        <w:topLinePunct w:val="0"/>
        <w:bidi w:val="0"/>
        <w:snapToGrid w:val="0"/>
        <w:spacing w:line="360" w:lineRule="auto"/>
        <w:jc w:val="center"/>
        <w:textAlignment w:val="auto"/>
        <w:rPr>
          <w:rFonts w:hint="eastAsia"/>
        </w:rPr>
      </w:pPr>
      <w:r>
        <w:rPr>
          <w:rFonts w:hint="eastAsia" w:ascii="黑体" w:hAnsi="黑体" w:eastAsia="黑体" w:cs="黑体"/>
          <w:b w:val="0"/>
          <w:bCs w:val="0"/>
          <w:sz w:val="32"/>
          <w:szCs w:val="32"/>
        </w:rPr>
        <w:t>争议处理</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 w:val="0"/>
          <w:color w:val="000000"/>
          <w:sz w:val="32"/>
          <w:szCs w:val="32"/>
        </w:rPr>
        <w:t>第三十</w:t>
      </w:r>
      <w:r>
        <w:rPr>
          <w:rFonts w:hint="eastAsia" w:ascii="黑体" w:hAnsi="黑体" w:eastAsia="黑体" w:cs="黑体"/>
          <w:b w:val="0"/>
          <w:color w:val="000000"/>
          <w:sz w:val="32"/>
          <w:szCs w:val="32"/>
          <w:lang w:val="en-US" w:eastAsia="zh-CN"/>
        </w:rPr>
        <w:t>三</w:t>
      </w:r>
      <w:r>
        <w:rPr>
          <w:rFonts w:hint="eastAsia" w:ascii="黑体" w:hAnsi="黑体" w:eastAsia="黑体" w:cs="黑体"/>
          <w:b w:val="0"/>
          <w:color w:val="000000"/>
          <w:sz w:val="32"/>
          <w:szCs w:val="32"/>
        </w:rPr>
        <w:t>条</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Cs/>
          <w:sz w:val="32"/>
          <w:szCs w:val="32"/>
        </w:rPr>
        <w:t>因履行本保险合同发生的争议，由当事人协商解决。协商不成的，提交保险合同载明的仲裁机构仲裁；保险合同未载明仲裁机构或者争议发生后未达成仲裁协议的，依法向人民法院起诉。</w:t>
      </w:r>
    </w:p>
    <w:p>
      <w:pPr>
        <w:keepNext w:val="0"/>
        <w:keepLines w:val="0"/>
        <w:pageBreakBefore w:val="0"/>
        <w:kinsoku/>
        <w:wordWrap/>
        <w:overflowPunct/>
        <w:topLinePunct w:val="0"/>
        <w:bidi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sz w:val="32"/>
          <w:szCs w:val="32"/>
        </w:rPr>
        <w:t>第三十</w:t>
      </w:r>
      <w:r>
        <w:rPr>
          <w:rFonts w:hint="eastAsia" w:ascii="黑体" w:hAnsi="黑体" w:eastAsia="黑体" w:cs="黑体"/>
          <w:b w:val="0"/>
          <w:sz w:val="32"/>
          <w:szCs w:val="32"/>
          <w:lang w:val="en-US" w:eastAsia="zh-CN"/>
        </w:rPr>
        <w:t>四</w:t>
      </w:r>
      <w:r>
        <w:rPr>
          <w:rFonts w:hint="eastAsia" w:ascii="黑体" w:hAnsi="黑体" w:eastAsia="黑体" w:cs="黑体"/>
          <w:b w:val="0"/>
          <w:sz w:val="32"/>
          <w:szCs w:val="32"/>
        </w:rPr>
        <w:t>条</w:t>
      </w:r>
      <w:r>
        <w:rPr>
          <w:rFonts w:hint="eastAsia" w:ascii="黑体" w:hAnsi="黑体" w:eastAsia="黑体" w:cs="黑体"/>
          <w:b w:val="0"/>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与</w:t>
      </w:r>
      <w:r>
        <w:rPr>
          <w:rFonts w:hint="eastAsia" w:ascii="仿宋_GB2312" w:hAnsi="仿宋_GB2312" w:eastAsia="仿宋_GB2312" w:cs="仿宋_GB2312"/>
          <w:kern w:val="0"/>
          <w:sz w:val="32"/>
          <w:szCs w:val="32"/>
        </w:rPr>
        <w:t>本保险合同有关的以及履行本保险合同产生的一切争议，适用中华人民共和国法律（</w:t>
      </w:r>
      <w:r>
        <w:rPr>
          <w:rFonts w:hint="eastAsia" w:ascii="仿宋_GB2312" w:hAnsi="仿宋_GB2312" w:eastAsia="仿宋_GB2312" w:cs="仿宋_GB2312"/>
          <w:b/>
          <w:kern w:val="0"/>
          <w:sz w:val="32"/>
          <w:szCs w:val="32"/>
        </w:rPr>
        <w:t>不包括港澳台地区法律</w:t>
      </w:r>
      <w:r>
        <w:rPr>
          <w:rFonts w:hint="eastAsia" w:ascii="仿宋_GB2312" w:hAnsi="仿宋_GB2312" w:eastAsia="仿宋_GB2312" w:cs="仿宋_GB2312"/>
          <w:kern w:val="0"/>
          <w:sz w:val="32"/>
          <w:szCs w:val="32"/>
        </w:rPr>
        <w:t>）。</w:t>
      </w:r>
    </w:p>
    <w:p>
      <w:pPr>
        <w:keepNext w:val="0"/>
        <w:keepLines w:val="0"/>
        <w:pageBreakBefore w:val="0"/>
        <w:tabs>
          <w:tab w:val="left" w:pos="4500"/>
        </w:tabs>
        <w:kinsoku/>
        <w:wordWrap/>
        <w:overflowPunct/>
        <w:topLinePunct w:val="0"/>
        <w:bidi w:val="0"/>
        <w:snapToGrid/>
        <w:spacing w:line="360" w:lineRule="auto"/>
        <w:jc w:val="both"/>
        <w:textAlignment w:val="auto"/>
        <w:rPr>
          <w:rFonts w:hint="eastAsia" w:ascii="仿宋_GB2312" w:hAnsi="仿宋_GB2312" w:eastAsia="仿宋_GB2312" w:cs="仿宋_GB2312"/>
          <w:b/>
          <w:bCs/>
          <w:sz w:val="32"/>
          <w:szCs w:val="32"/>
        </w:rPr>
      </w:pPr>
    </w:p>
    <w:p>
      <w:pPr>
        <w:keepNext w:val="0"/>
        <w:keepLines w:val="0"/>
        <w:pageBreakBefore w:val="0"/>
        <w:tabs>
          <w:tab w:val="left" w:pos="4500"/>
        </w:tabs>
        <w:kinsoku/>
        <w:wordWrap/>
        <w:overflowPunct/>
        <w:topLinePunct w:val="0"/>
        <w:bidi w:val="0"/>
        <w:snapToGrid/>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其他事项</w:t>
      </w:r>
    </w:p>
    <w:p>
      <w:pPr>
        <w:keepNext w:val="0"/>
        <w:keepLines w:val="0"/>
        <w:pageBreakBefore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第三十</w:t>
      </w:r>
      <w:r>
        <w:rPr>
          <w:rFonts w:hint="eastAsia" w:ascii="黑体" w:hAnsi="黑体" w:eastAsia="黑体" w:cs="黑体"/>
          <w:b w:val="0"/>
          <w:bCs w:val="0"/>
          <w:color w:val="000000"/>
          <w:sz w:val="32"/>
          <w:szCs w:val="32"/>
          <w:lang w:val="en-US" w:eastAsia="zh-CN"/>
        </w:rPr>
        <w:t>五</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sz w:val="32"/>
          <w:szCs w:val="32"/>
        </w:rPr>
        <w:t>保险育肥猪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keepNext w:val="0"/>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第三十</w:t>
      </w: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条</w:t>
      </w:r>
      <w:r>
        <w:rPr>
          <w:rFonts w:hint="eastAsia" w:ascii="黑体" w:hAnsi="黑体" w:eastAsia="黑体" w:cs="黑体"/>
          <w:b/>
          <w:bCs/>
          <w:color w:val="000000"/>
          <w:sz w:val="32"/>
          <w:szCs w:val="32"/>
          <w:lang w:val="en-US" w:eastAsia="zh-CN"/>
        </w:rPr>
        <w:t xml:space="preserve">  </w:t>
      </w:r>
      <w:r>
        <w:rPr>
          <w:rFonts w:hint="eastAsia" w:ascii="仿宋_GB2312" w:hAnsi="仿宋_GB2312" w:eastAsia="仿宋_GB2312" w:cs="仿宋_GB2312"/>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keepNext w:val="0"/>
        <w:spacing w:line="360" w:lineRule="auto"/>
        <w:ind w:firstLine="643" w:firstLineChars="200"/>
        <w:rPr>
          <w:rFonts w:hint="eastAsia"/>
        </w:rPr>
      </w:pPr>
      <w:r>
        <w:rPr>
          <w:rFonts w:hint="eastAsia" w:ascii="仿宋_GB2312" w:hAnsi="仿宋_GB2312" w:eastAsia="仿宋_GB2312" w:cs="仿宋_GB2312"/>
          <w:b/>
          <w:bCs/>
          <w:sz w:val="32"/>
          <w:szCs w:val="32"/>
          <w:u w:val="none"/>
          <w:lang w:val="en-US" w:eastAsia="zh-CN"/>
        </w:rPr>
        <w:t>在保险合同有效期内，投保人、保险人均不得因保险育肥猪的危险程度发生变化增加保险费或者解除本保险合同。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第三十</w:t>
      </w: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本保险合同约定与《中华人民共和国保险法》、《农业保险条例》等法律规定相悖之处，以法律规定为准。本保险合同未尽事宜，以法律规定为准。</w:t>
      </w:r>
    </w:p>
    <w:p>
      <w:pPr>
        <w:keepNext w:val="0"/>
        <w:keepLines w:val="0"/>
        <w:pageBreakBefore w:val="0"/>
        <w:tabs>
          <w:tab w:val="left" w:pos="4500"/>
        </w:tabs>
        <w:kinsoku/>
        <w:wordWrap/>
        <w:overflowPunct/>
        <w:topLinePunct w:val="0"/>
        <w:bidi w:val="0"/>
        <w:snapToGrid/>
        <w:spacing w:line="360" w:lineRule="auto"/>
        <w:jc w:val="both"/>
        <w:textAlignment w:val="auto"/>
        <w:rPr>
          <w:rFonts w:hint="eastAsia" w:ascii="仿宋_GB2312" w:hAnsi="仿宋_GB2312" w:eastAsia="仿宋_GB2312" w:cs="仿宋_GB2312"/>
          <w:b/>
          <w:bCs/>
          <w:sz w:val="32"/>
          <w:szCs w:val="32"/>
        </w:rPr>
      </w:pPr>
    </w:p>
    <w:p>
      <w:pPr>
        <w:keepNext w:val="0"/>
        <w:keepLines w:val="0"/>
        <w:pageBreakBefore w:val="0"/>
        <w:tabs>
          <w:tab w:val="left" w:pos="4500"/>
        </w:tabs>
        <w:kinsoku/>
        <w:wordWrap/>
        <w:overflowPunct/>
        <w:topLinePunct w:val="0"/>
        <w:bidi w:val="0"/>
        <w:snapToGrid/>
        <w:spacing w:line="360" w:lineRule="auto"/>
        <w:jc w:val="center"/>
        <w:textAlignment w:val="auto"/>
        <w:rPr>
          <w:rFonts w:hint="eastAsia" w:ascii="仿宋_GB2312" w:hAnsi="仿宋_GB2312" w:eastAsia="仿宋_GB2312" w:cs="仿宋_GB2312"/>
          <w:b/>
          <w:color w:val="000000"/>
          <w:sz w:val="32"/>
          <w:szCs w:val="32"/>
        </w:rPr>
      </w:pPr>
      <w:r>
        <w:rPr>
          <w:rFonts w:hint="eastAsia" w:ascii="黑体" w:hAnsi="黑体" w:eastAsia="黑体" w:cs="黑体"/>
          <w:b w:val="0"/>
          <w:bCs w:val="0"/>
          <w:sz w:val="32"/>
          <w:szCs w:val="32"/>
        </w:rPr>
        <w:t>释</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义</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b/>
          <w:bCs/>
          <w:color w:val="000000"/>
          <w:sz w:val="32"/>
          <w:szCs w:val="32"/>
        </w:rPr>
      </w:pPr>
      <w:r>
        <w:rPr>
          <w:rFonts w:hint="eastAsia" w:ascii="黑体" w:hAnsi="黑体" w:eastAsia="黑体" w:cs="黑体"/>
          <w:b w:val="0"/>
          <w:color w:val="000000"/>
          <w:sz w:val="32"/>
          <w:szCs w:val="32"/>
        </w:rPr>
        <w:t>第三十</w:t>
      </w:r>
      <w:r>
        <w:rPr>
          <w:rFonts w:hint="eastAsia" w:ascii="黑体" w:hAnsi="黑体" w:eastAsia="黑体" w:cs="黑体"/>
          <w:b w:val="0"/>
          <w:color w:val="000000"/>
          <w:sz w:val="32"/>
          <w:szCs w:val="32"/>
          <w:lang w:val="en-US" w:eastAsia="zh-CN"/>
        </w:rPr>
        <w:t>八</w:t>
      </w:r>
      <w:r>
        <w:rPr>
          <w:rFonts w:hint="eastAsia" w:ascii="黑体" w:hAnsi="黑体" w:eastAsia="黑体" w:cs="黑体"/>
          <w:b w:val="0"/>
          <w:color w:val="000000"/>
          <w:sz w:val="32"/>
          <w:szCs w:val="32"/>
        </w:rPr>
        <w:t xml:space="preserve">条 </w:t>
      </w:r>
      <w:r>
        <w:rPr>
          <w:rFonts w:hint="eastAsia" w:ascii="黑体" w:hAnsi="黑体" w:eastAsia="黑体" w:cs="黑体"/>
          <w:b w:val="0"/>
          <w:color w:val="000000"/>
          <w:sz w:val="32"/>
          <w:szCs w:val="32"/>
          <w:lang w:val="en-US" w:eastAsia="zh-CN"/>
        </w:rPr>
        <w:t xml:space="preserve"> </w:t>
      </w:r>
      <w:r>
        <w:rPr>
          <w:rFonts w:hint="eastAsia" w:ascii="仿宋_GB2312" w:hAnsi="仿宋_GB2312" w:eastAsia="仿宋_GB2312" w:cs="仿宋_GB2312"/>
          <w:color w:val="000000"/>
          <w:sz w:val="32"/>
          <w:szCs w:val="32"/>
        </w:rPr>
        <w:t>本保险合同涉及以下术语时，适用下列释义：</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（一）暴雨：指每小时降雨量达16毫米以上，或连续12小时降雨量达30毫米以上，或连续24小时降雨量达50毫米以上的降雨。</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（二）洪水：指山洪暴发、江河泛滥、潮水上岸及倒灌或暴雨积水。</w:t>
      </w:r>
      <w:r>
        <w:rPr>
          <w:rFonts w:hint="eastAsia" w:ascii="仿宋_GB2312" w:hAnsi="仿宋_GB2312" w:eastAsia="仿宋_GB2312" w:cs="仿宋_GB2312"/>
          <w:b/>
          <w:sz w:val="32"/>
          <w:szCs w:val="32"/>
        </w:rPr>
        <w:t>规律性涨潮、海水倒灌、自动灭火设施漏水以及常年水位线以下或地下渗水、水管爆裂、政府行蓄洪不属于洪水责任。</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（三）风灾：指8级（含）以上，即风速在17.2米/秒以上的自然风。</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（四）雷击：指积雨云中、云间或云地之间产生的放电现象，其破坏形式分为直接雷击和感应雷击两种。</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（五）地震：是地壳快速释放能量过程中造成振动，期间会产生地震波的一种自然现象。</w:t>
      </w:r>
    </w:p>
    <w:p>
      <w:pPr>
        <w:keepNext w:val="0"/>
        <w:keepLines w:val="0"/>
        <w:pageBreakBefore w:val="0"/>
        <w:kinsoku/>
        <w:wordWrap/>
        <w:overflowPunct/>
        <w:topLinePunct w:val="0"/>
        <w:bidi w:val="0"/>
        <w:spacing w:line="360" w:lineRule="auto"/>
        <w:ind w:left="29" w:right="96" w:firstLine="62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pacing w:val="0"/>
          <w:sz w:val="32"/>
          <w:szCs w:val="32"/>
        </w:rPr>
        <w:t>冰雹：指从强烈对流的积雨云中降落到地面的冰块或冰球，是直径大于 5 毫米，核心坚硬的固体降水。</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（七）冻灾：指因遇到０℃以下或长期持续在０℃以下的温度，引起动物丧失一切生理活力，造成死亡的现象。</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（八）泥石流：指由于雨水、冰雪融化等水源激发的、含有大量泥沙石块的特殊洪流。</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（九）山体滑坡：指山体上不稳的岩土体在重力作用下突然整体向下滑动的现象。</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（十）火灾：指在时间或空间上失去控制的燃烧所造成的灾害。它必须同时具备以下三个条件：1.有燃烧现象，即有热有光有火焰；2.偶然、意外发生的燃烧；3.燃烧失去控制并有蔓延扩大的趋势。</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爆炸：包括物理性爆炸和化学性爆炸。物理性爆炸指由于液体、固体变为蒸汽或其他膨胀，压力急剧增加并超过容器所能承受的极限压力而发生的爆炸。化学性爆炸指物体在瞬间分解或燃烧时放出大量的热和气体，并以很大的压力向四周扩散的现象。</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建筑物倒塌、空中运行物体坠落：指空中飞行器、人造卫星、陨石坠落，吊车、行车在运行时发生的物体坠落，人工开凿或爆炸而致石方、石块、土方飞射、塌下，建筑物倒塌、倒落、倾倒，以及其他空中运行物体坠落。</w:t>
      </w:r>
    </w:p>
    <w:p>
      <w:pPr>
        <w:keepNext w:val="0"/>
        <w:keepLines w:val="0"/>
        <w:pageBreakBefore w:val="0"/>
        <w:kinsoku/>
        <w:wordWrap/>
        <w:overflowPunct/>
        <w:topLinePunct w:val="0"/>
        <w:bidi w:val="0"/>
        <w:spacing w:line="360" w:lineRule="auto"/>
        <w:ind w:left="28" w:right="87" w:firstLine="648"/>
        <w:textAlignment w:val="auto"/>
        <w:rPr>
          <w:rFonts w:ascii="仿宋" w:hAnsi="仿宋" w:eastAsia="仿宋" w:cs="仿宋"/>
          <w:sz w:val="31"/>
          <w:szCs w:val="31"/>
        </w:rPr>
      </w:pPr>
      <w:r>
        <w:rPr>
          <w:rFonts w:hint="eastAsia" w:ascii="仿宋_GB2312" w:hAnsi="仿宋_GB2312" w:eastAsia="仿宋_GB2312" w:cs="仿宋_GB2312"/>
          <w:sz w:val="32"/>
          <w:szCs w:val="32"/>
        </w:rPr>
        <w:t>（十三）野生动物毁损：</w:t>
      </w:r>
      <w:r>
        <w:rPr>
          <w:rFonts w:ascii="仿宋" w:hAnsi="仿宋" w:eastAsia="仿宋" w:cs="仿宋"/>
          <w:spacing w:val="14"/>
          <w:sz w:val="31"/>
          <w:szCs w:val="31"/>
        </w:rPr>
        <w:t>是指因野生动物侵袭造成保险</w:t>
      </w:r>
      <w:r>
        <w:rPr>
          <w:rFonts w:ascii="仿宋" w:hAnsi="仿宋" w:eastAsia="仿宋" w:cs="仿宋"/>
          <w:spacing w:val="-1"/>
          <w:sz w:val="31"/>
          <w:szCs w:val="31"/>
        </w:rPr>
        <w:t>育肥猪的死亡</w:t>
      </w:r>
      <w:r>
        <w:rPr>
          <w:rFonts w:ascii="仿宋" w:hAnsi="仿宋" w:eastAsia="仿宋" w:cs="仿宋"/>
          <w:sz w:val="31"/>
          <w:szCs w:val="31"/>
        </w:rPr>
        <w:t>。</w:t>
      </w:r>
    </w:p>
    <w:p>
      <w:pPr>
        <w:keepNext w:val="0"/>
        <w:keepLines w:val="0"/>
        <w:pageBreakBefore w:val="0"/>
        <w:kinsoku/>
        <w:wordWrap/>
        <w:overflowPunct/>
        <w:topLinePunct w:val="0"/>
        <w:bidi w:val="0"/>
        <w:spacing w:line="360" w:lineRule="auto"/>
        <w:ind w:firstLine="66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（十四）育肥猪：指断奶后的仔猪经过一段时间饲养育肥但还未出栏，且以宰杀、出售猪肉为目的而饲养的猪只。</w:t>
      </w:r>
    </w:p>
    <w:p>
      <w:pPr>
        <w:keepNext w:val="0"/>
        <w:keepLines w:val="0"/>
        <w:pageBreakBefore w:val="0"/>
        <w:kinsoku/>
        <w:wordWrap/>
        <w:overflowPunct/>
        <w:topLinePunct w:val="0"/>
        <w:bidi w:val="0"/>
        <w:spacing w:line="360" w:lineRule="auto"/>
        <w:ind w:firstLine="66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（十五）尸长范围：是指从育肥猪两耳根连线的中点起，沿背中线至尾根的长度。</w:t>
      </w:r>
    </w:p>
    <w:p>
      <w:pPr>
        <w:keepNext w:val="0"/>
        <w:keepLines w:val="0"/>
        <w:pageBreakBefore w:val="0"/>
        <w:kinsoku/>
        <w:wordWrap/>
        <w:overflowPunct/>
        <w:topLinePunct w:val="0"/>
        <w:bidi w:val="0"/>
        <w:spacing w:line="360" w:lineRule="auto"/>
        <w:ind w:firstLine="66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（十六）每批次保险育肥猪数量：育肥猪按批次投保时，每批次保险育肥猪数量即保险单载明的保险数量；按年投保时，每批次保险育肥猪数量即保险单载明的保险数量/年投保批次数。</w:t>
      </w:r>
    </w:p>
    <w:p>
      <w:pPr>
        <w:keepNext w:val="0"/>
        <w:keepLines w:val="0"/>
        <w:pageBreakBefore w:val="0"/>
        <w:kinsoku/>
        <w:wordWrap/>
        <w:overflowPunct/>
        <w:topLinePunct w:val="0"/>
        <w:bidi w:val="0"/>
        <w:spacing w:line="360" w:lineRule="auto"/>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（十七）</w:t>
      </w:r>
      <w:r>
        <w:rPr>
          <w:rFonts w:hint="eastAsia" w:ascii="仿宋_GB2312" w:hAnsi="仿宋_GB2312" w:eastAsia="仿宋_GB2312" w:cs="仿宋_GB2312"/>
          <w:sz w:val="32"/>
          <w:szCs w:val="32"/>
        </w:rPr>
        <w:t>养殖场（户）：是指包括但不限于养殖户、专业合作社或养殖企业的养殖形式。</w:t>
      </w:r>
    </w:p>
    <w:sectPr>
      <w:footerReference r:id="rId3" w:type="default"/>
      <w:footerReference r:id="rId4" w:type="even"/>
      <w:pgSz w:w="11906" w:h="16838"/>
      <w:pgMar w:top="1440" w:right="1800" w:bottom="1440" w:left="1800"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1222D"/>
    <w:rsid w:val="00000528"/>
    <w:rsid w:val="000007A8"/>
    <w:rsid w:val="00002948"/>
    <w:rsid w:val="0000370E"/>
    <w:rsid w:val="00003BCE"/>
    <w:rsid w:val="00003F95"/>
    <w:rsid w:val="0000459D"/>
    <w:rsid w:val="000049EF"/>
    <w:rsid w:val="000108B0"/>
    <w:rsid w:val="00012CDF"/>
    <w:rsid w:val="00013795"/>
    <w:rsid w:val="00013B8D"/>
    <w:rsid w:val="00014BFF"/>
    <w:rsid w:val="0001562D"/>
    <w:rsid w:val="000156EE"/>
    <w:rsid w:val="00015DCA"/>
    <w:rsid w:val="00016B61"/>
    <w:rsid w:val="000174FB"/>
    <w:rsid w:val="000179EB"/>
    <w:rsid w:val="0002057A"/>
    <w:rsid w:val="00021394"/>
    <w:rsid w:val="00021AD9"/>
    <w:rsid w:val="00024712"/>
    <w:rsid w:val="000275A2"/>
    <w:rsid w:val="00033BB9"/>
    <w:rsid w:val="0003596D"/>
    <w:rsid w:val="00037D07"/>
    <w:rsid w:val="00042339"/>
    <w:rsid w:val="0004277F"/>
    <w:rsid w:val="00046178"/>
    <w:rsid w:val="00050392"/>
    <w:rsid w:val="00050501"/>
    <w:rsid w:val="0005222C"/>
    <w:rsid w:val="000522A1"/>
    <w:rsid w:val="00052CB9"/>
    <w:rsid w:val="00052FA2"/>
    <w:rsid w:val="00053867"/>
    <w:rsid w:val="000558D1"/>
    <w:rsid w:val="000558FE"/>
    <w:rsid w:val="00056282"/>
    <w:rsid w:val="000562DA"/>
    <w:rsid w:val="00057E20"/>
    <w:rsid w:val="00060B1E"/>
    <w:rsid w:val="00061372"/>
    <w:rsid w:val="000614E9"/>
    <w:rsid w:val="000636D5"/>
    <w:rsid w:val="000664A0"/>
    <w:rsid w:val="0006695C"/>
    <w:rsid w:val="00067173"/>
    <w:rsid w:val="000704AC"/>
    <w:rsid w:val="00070E60"/>
    <w:rsid w:val="0007503E"/>
    <w:rsid w:val="00075BF4"/>
    <w:rsid w:val="00080A6A"/>
    <w:rsid w:val="00080A70"/>
    <w:rsid w:val="0008148C"/>
    <w:rsid w:val="00084057"/>
    <w:rsid w:val="00085189"/>
    <w:rsid w:val="00086B07"/>
    <w:rsid w:val="00087444"/>
    <w:rsid w:val="0009056B"/>
    <w:rsid w:val="00091618"/>
    <w:rsid w:val="000941CF"/>
    <w:rsid w:val="00094A66"/>
    <w:rsid w:val="000963E6"/>
    <w:rsid w:val="000967DA"/>
    <w:rsid w:val="000A246C"/>
    <w:rsid w:val="000A5B21"/>
    <w:rsid w:val="000A6AAF"/>
    <w:rsid w:val="000A76CC"/>
    <w:rsid w:val="000A7EA1"/>
    <w:rsid w:val="000B0201"/>
    <w:rsid w:val="000B25B3"/>
    <w:rsid w:val="000B3B6E"/>
    <w:rsid w:val="000B517B"/>
    <w:rsid w:val="000B6931"/>
    <w:rsid w:val="000C0E92"/>
    <w:rsid w:val="000C22AC"/>
    <w:rsid w:val="000C24BA"/>
    <w:rsid w:val="000C26AA"/>
    <w:rsid w:val="000C2B4E"/>
    <w:rsid w:val="000C364A"/>
    <w:rsid w:val="000C4CA0"/>
    <w:rsid w:val="000C5F9A"/>
    <w:rsid w:val="000D60EA"/>
    <w:rsid w:val="000D6E9B"/>
    <w:rsid w:val="000E2E52"/>
    <w:rsid w:val="000E3738"/>
    <w:rsid w:val="000E7991"/>
    <w:rsid w:val="000E7C94"/>
    <w:rsid w:val="000F0B77"/>
    <w:rsid w:val="000F0E79"/>
    <w:rsid w:val="000F280B"/>
    <w:rsid w:val="000F4664"/>
    <w:rsid w:val="000F48AC"/>
    <w:rsid w:val="00101C8F"/>
    <w:rsid w:val="001036B9"/>
    <w:rsid w:val="00104825"/>
    <w:rsid w:val="001060FC"/>
    <w:rsid w:val="00113D54"/>
    <w:rsid w:val="001152E3"/>
    <w:rsid w:val="00115513"/>
    <w:rsid w:val="00116124"/>
    <w:rsid w:val="00116947"/>
    <w:rsid w:val="00116BCB"/>
    <w:rsid w:val="00117D19"/>
    <w:rsid w:val="001206EA"/>
    <w:rsid w:val="0012483D"/>
    <w:rsid w:val="00124FD6"/>
    <w:rsid w:val="00126A7A"/>
    <w:rsid w:val="00127898"/>
    <w:rsid w:val="00132832"/>
    <w:rsid w:val="001353BA"/>
    <w:rsid w:val="00135E2C"/>
    <w:rsid w:val="00136810"/>
    <w:rsid w:val="00137F3C"/>
    <w:rsid w:val="00142AAC"/>
    <w:rsid w:val="00143F46"/>
    <w:rsid w:val="00144103"/>
    <w:rsid w:val="00144B5A"/>
    <w:rsid w:val="00146B93"/>
    <w:rsid w:val="001520DC"/>
    <w:rsid w:val="00152D0C"/>
    <w:rsid w:val="0015308D"/>
    <w:rsid w:val="001534D3"/>
    <w:rsid w:val="00154C81"/>
    <w:rsid w:val="00155FA8"/>
    <w:rsid w:val="0015614E"/>
    <w:rsid w:val="00156579"/>
    <w:rsid w:val="00156E8A"/>
    <w:rsid w:val="00160F54"/>
    <w:rsid w:val="00161F61"/>
    <w:rsid w:val="00162893"/>
    <w:rsid w:val="001636BF"/>
    <w:rsid w:val="001648B2"/>
    <w:rsid w:val="00165DF5"/>
    <w:rsid w:val="00165E94"/>
    <w:rsid w:val="001661AB"/>
    <w:rsid w:val="0016662D"/>
    <w:rsid w:val="00167800"/>
    <w:rsid w:val="00167F86"/>
    <w:rsid w:val="00171077"/>
    <w:rsid w:val="00171E96"/>
    <w:rsid w:val="00173BA7"/>
    <w:rsid w:val="00174129"/>
    <w:rsid w:val="00175814"/>
    <w:rsid w:val="001758CA"/>
    <w:rsid w:val="0017766C"/>
    <w:rsid w:val="00177DB8"/>
    <w:rsid w:val="001851EB"/>
    <w:rsid w:val="001860F9"/>
    <w:rsid w:val="00186142"/>
    <w:rsid w:val="00186C2A"/>
    <w:rsid w:val="001875F1"/>
    <w:rsid w:val="00190432"/>
    <w:rsid w:val="00190741"/>
    <w:rsid w:val="00190837"/>
    <w:rsid w:val="00191008"/>
    <w:rsid w:val="00194A4A"/>
    <w:rsid w:val="001972FB"/>
    <w:rsid w:val="001A2B67"/>
    <w:rsid w:val="001A4242"/>
    <w:rsid w:val="001B0FFF"/>
    <w:rsid w:val="001B33C4"/>
    <w:rsid w:val="001B4483"/>
    <w:rsid w:val="001B6492"/>
    <w:rsid w:val="001B75C0"/>
    <w:rsid w:val="001B7CC0"/>
    <w:rsid w:val="001C011D"/>
    <w:rsid w:val="001C0271"/>
    <w:rsid w:val="001C045B"/>
    <w:rsid w:val="001C1D20"/>
    <w:rsid w:val="001C2D27"/>
    <w:rsid w:val="001C4396"/>
    <w:rsid w:val="001C4D41"/>
    <w:rsid w:val="001C5C4A"/>
    <w:rsid w:val="001C5CAD"/>
    <w:rsid w:val="001C772F"/>
    <w:rsid w:val="001D611B"/>
    <w:rsid w:val="001E0FDE"/>
    <w:rsid w:val="001F00E6"/>
    <w:rsid w:val="001F1307"/>
    <w:rsid w:val="001F39A5"/>
    <w:rsid w:val="001F6838"/>
    <w:rsid w:val="00200A9F"/>
    <w:rsid w:val="00200D18"/>
    <w:rsid w:val="00201243"/>
    <w:rsid w:val="0020155A"/>
    <w:rsid w:val="0020284F"/>
    <w:rsid w:val="00202EED"/>
    <w:rsid w:val="002042C0"/>
    <w:rsid w:val="00205094"/>
    <w:rsid w:val="00206B67"/>
    <w:rsid w:val="00207E6E"/>
    <w:rsid w:val="0021093E"/>
    <w:rsid w:val="00211E60"/>
    <w:rsid w:val="00212342"/>
    <w:rsid w:val="00213B28"/>
    <w:rsid w:val="00215C69"/>
    <w:rsid w:val="002171D6"/>
    <w:rsid w:val="00225E7A"/>
    <w:rsid w:val="00226952"/>
    <w:rsid w:val="00227A95"/>
    <w:rsid w:val="0023099F"/>
    <w:rsid w:val="00232F57"/>
    <w:rsid w:val="00233FEF"/>
    <w:rsid w:val="0023422A"/>
    <w:rsid w:val="00234F45"/>
    <w:rsid w:val="00235528"/>
    <w:rsid w:val="00235552"/>
    <w:rsid w:val="00240228"/>
    <w:rsid w:val="00241434"/>
    <w:rsid w:val="002430E9"/>
    <w:rsid w:val="00243A41"/>
    <w:rsid w:val="00244483"/>
    <w:rsid w:val="002464DA"/>
    <w:rsid w:val="00247773"/>
    <w:rsid w:val="00251A9A"/>
    <w:rsid w:val="00251D6A"/>
    <w:rsid w:val="00251E17"/>
    <w:rsid w:val="002532F7"/>
    <w:rsid w:val="00253BE9"/>
    <w:rsid w:val="00256F12"/>
    <w:rsid w:val="00260658"/>
    <w:rsid w:val="0026187C"/>
    <w:rsid w:val="00262733"/>
    <w:rsid w:val="00262E9F"/>
    <w:rsid w:val="00263537"/>
    <w:rsid w:val="00264669"/>
    <w:rsid w:val="00265C82"/>
    <w:rsid w:val="0026737C"/>
    <w:rsid w:val="00267793"/>
    <w:rsid w:val="00270073"/>
    <w:rsid w:val="00270EF9"/>
    <w:rsid w:val="002747C4"/>
    <w:rsid w:val="00274F28"/>
    <w:rsid w:val="0028103D"/>
    <w:rsid w:val="00281428"/>
    <w:rsid w:val="002831B4"/>
    <w:rsid w:val="00284E9B"/>
    <w:rsid w:val="00285004"/>
    <w:rsid w:val="0028527D"/>
    <w:rsid w:val="00286265"/>
    <w:rsid w:val="002865C3"/>
    <w:rsid w:val="00287657"/>
    <w:rsid w:val="00293291"/>
    <w:rsid w:val="0029623F"/>
    <w:rsid w:val="002A0D7A"/>
    <w:rsid w:val="002A1B80"/>
    <w:rsid w:val="002A1DDD"/>
    <w:rsid w:val="002A3042"/>
    <w:rsid w:val="002B0126"/>
    <w:rsid w:val="002B0C84"/>
    <w:rsid w:val="002B112B"/>
    <w:rsid w:val="002B2156"/>
    <w:rsid w:val="002B305F"/>
    <w:rsid w:val="002B6979"/>
    <w:rsid w:val="002B78F1"/>
    <w:rsid w:val="002C33A3"/>
    <w:rsid w:val="002C3E5E"/>
    <w:rsid w:val="002C5170"/>
    <w:rsid w:val="002C628B"/>
    <w:rsid w:val="002C6DE3"/>
    <w:rsid w:val="002D0E8E"/>
    <w:rsid w:val="002D1F12"/>
    <w:rsid w:val="002D3760"/>
    <w:rsid w:val="002D4D81"/>
    <w:rsid w:val="002D509D"/>
    <w:rsid w:val="002D6F14"/>
    <w:rsid w:val="002E0BE5"/>
    <w:rsid w:val="002E109F"/>
    <w:rsid w:val="002E1135"/>
    <w:rsid w:val="002E12BE"/>
    <w:rsid w:val="002E16F0"/>
    <w:rsid w:val="002E1CFC"/>
    <w:rsid w:val="002E60E0"/>
    <w:rsid w:val="002E6ABE"/>
    <w:rsid w:val="002F0758"/>
    <w:rsid w:val="002F13BD"/>
    <w:rsid w:val="002F18CF"/>
    <w:rsid w:val="002F1C03"/>
    <w:rsid w:val="002F221E"/>
    <w:rsid w:val="002F3DB2"/>
    <w:rsid w:val="002F6301"/>
    <w:rsid w:val="00300B70"/>
    <w:rsid w:val="00301C4C"/>
    <w:rsid w:val="003051EF"/>
    <w:rsid w:val="00305378"/>
    <w:rsid w:val="00305DE4"/>
    <w:rsid w:val="00306757"/>
    <w:rsid w:val="00307379"/>
    <w:rsid w:val="00307B0C"/>
    <w:rsid w:val="00307B29"/>
    <w:rsid w:val="00310F93"/>
    <w:rsid w:val="003112CC"/>
    <w:rsid w:val="0031373F"/>
    <w:rsid w:val="00320C9F"/>
    <w:rsid w:val="00321955"/>
    <w:rsid w:val="00324C6A"/>
    <w:rsid w:val="0032598E"/>
    <w:rsid w:val="00325AA3"/>
    <w:rsid w:val="003269E0"/>
    <w:rsid w:val="00326BC9"/>
    <w:rsid w:val="00327938"/>
    <w:rsid w:val="00330900"/>
    <w:rsid w:val="003337CC"/>
    <w:rsid w:val="0033694E"/>
    <w:rsid w:val="003376C6"/>
    <w:rsid w:val="00337C2D"/>
    <w:rsid w:val="003410D4"/>
    <w:rsid w:val="00341521"/>
    <w:rsid w:val="0034383E"/>
    <w:rsid w:val="00344EED"/>
    <w:rsid w:val="00344FC8"/>
    <w:rsid w:val="00346AE1"/>
    <w:rsid w:val="00346C8F"/>
    <w:rsid w:val="00350B67"/>
    <w:rsid w:val="00352634"/>
    <w:rsid w:val="00352CCF"/>
    <w:rsid w:val="0035368A"/>
    <w:rsid w:val="00355BE2"/>
    <w:rsid w:val="00355E11"/>
    <w:rsid w:val="00356E0B"/>
    <w:rsid w:val="00356EDD"/>
    <w:rsid w:val="003573F5"/>
    <w:rsid w:val="0035788F"/>
    <w:rsid w:val="003609C9"/>
    <w:rsid w:val="00362F33"/>
    <w:rsid w:val="003672D7"/>
    <w:rsid w:val="00370674"/>
    <w:rsid w:val="003717F3"/>
    <w:rsid w:val="00371AC6"/>
    <w:rsid w:val="003735D5"/>
    <w:rsid w:val="00375796"/>
    <w:rsid w:val="00375BE0"/>
    <w:rsid w:val="00375ED1"/>
    <w:rsid w:val="00376F9C"/>
    <w:rsid w:val="0038175C"/>
    <w:rsid w:val="003834FF"/>
    <w:rsid w:val="003846F3"/>
    <w:rsid w:val="003854DC"/>
    <w:rsid w:val="0038744E"/>
    <w:rsid w:val="0039097A"/>
    <w:rsid w:val="00393CD9"/>
    <w:rsid w:val="00394310"/>
    <w:rsid w:val="003950CD"/>
    <w:rsid w:val="00397D7B"/>
    <w:rsid w:val="003A0D0D"/>
    <w:rsid w:val="003A3410"/>
    <w:rsid w:val="003A4187"/>
    <w:rsid w:val="003A42EE"/>
    <w:rsid w:val="003A4F44"/>
    <w:rsid w:val="003A5EF5"/>
    <w:rsid w:val="003B1684"/>
    <w:rsid w:val="003B241B"/>
    <w:rsid w:val="003B5D3B"/>
    <w:rsid w:val="003B6B71"/>
    <w:rsid w:val="003C34BA"/>
    <w:rsid w:val="003D4AF2"/>
    <w:rsid w:val="003D4D21"/>
    <w:rsid w:val="003D71F4"/>
    <w:rsid w:val="003D73A5"/>
    <w:rsid w:val="003D75C9"/>
    <w:rsid w:val="003D7771"/>
    <w:rsid w:val="003E1C12"/>
    <w:rsid w:val="003E2BDF"/>
    <w:rsid w:val="003E2D19"/>
    <w:rsid w:val="003E33B6"/>
    <w:rsid w:val="003E4EB0"/>
    <w:rsid w:val="003E62D1"/>
    <w:rsid w:val="003E71CB"/>
    <w:rsid w:val="003F248C"/>
    <w:rsid w:val="003F2C03"/>
    <w:rsid w:val="003F2F61"/>
    <w:rsid w:val="003F3159"/>
    <w:rsid w:val="003F3ACF"/>
    <w:rsid w:val="003F7236"/>
    <w:rsid w:val="003F7CF3"/>
    <w:rsid w:val="003F7CFE"/>
    <w:rsid w:val="004008B2"/>
    <w:rsid w:val="00400B53"/>
    <w:rsid w:val="004024EA"/>
    <w:rsid w:val="0040268B"/>
    <w:rsid w:val="0040278F"/>
    <w:rsid w:val="00403B9D"/>
    <w:rsid w:val="0040699D"/>
    <w:rsid w:val="00407740"/>
    <w:rsid w:val="00410143"/>
    <w:rsid w:val="00411D46"/>
    <w:rsid w:val="004141F9"/>
    <w:rsid w:val="00414A38"/>
    <w:rsid w:val="00421CB0"/>
    <w:rsid w:val="00421EBF"/>
    <w:rsid w:val="00422280"/>
    <w:rsid w:val="00425A0C"/>
    <w:rsid w:val="00425D16"/>
    <w:rsid w:val="00427503"/>
    <w:rsid w:val="0043191F"/>
    <w:rsid w:val="00432692"/>
    <w:rsid w:val="004333E2"/>
    <w:rsid w:val="00433841"/>
    <w:rsid w:val="00433D06"/>
    <w:rsid w:val="00434B55"/>
    <w:rsid w:val="004404A9"/>
    <w:rsid w:val="004434DD"/>
    <w:rsid w:val="00443C31"/>
    <w:rsid w:val="00445279"/>
    <w:rsid w:val="00445E11"/>
    <w:rsid w:val="004461F5"/>
    <w:rsid w:val="00447500"/>
    <w:rsid w:val="00451F20"/>
    <w:rsid w:val="004524AE"/>
    <w:rsid w:val="00452C3B"/>
    <w:rsid w:val="00453533"/>
    <w:rsid w:val="004562F9"/>
    <w:rsid w:val="00460D0B"/>
    <w:rsid w:val="00461AFC"/>
    <w:rsid w:val="00461DEA"/>
    <w:rsid w:val="00463FF7"/>
    <w:rsid w:val="00465012"/>
    <w:rsid w:val="00466B3D"/>
    <w:rsid w:val="00467901"/>
    <w:rsid w:val="004715E6"/>
    <w:rsid w:val="004720B6"/>
    <w:rsid w:val="0047408A"/>
    <w:rsid w:val="00474CD9"/>
    <w:rsid w:val="00476BFD"/>
    <w:rsid w:val="004823F5"/>
    <w:rsid w:val="00485C8B"/>
    <w:rsid w:val="0049114E"/>
    <w:rsid w:val="00491612"/>
    <w:rsid w:val="004921D4"/>
    <w:rsid w:val="004971FE"/>
    <w:rsid w:val="004A0BF3"/>
    <w:rsid w:val="004A0FD0"/>
    <w:rsid w:val="004A3C1D"/>
    <w:rsid w:val="004A6E9F"/>
    <w:rsid w:val="004B00BB"/>
    <w:rsid w:val="004B0135"/>
    <w:rsid w:val="004B170E"/>
    <w:rsid w:val="004B193B"/>
    <w:rsid w:val="004B5392"/>
    <w:rsid w:val="004B6CA3"/>
    <w:rsid w:val="004C00C2"/>
    <w:rsid w:val="004C13A1"/>
    <w:rsid w:val="004C1CFF"/>
    <w:rsid w:val="004C3F17"/>
    <w:rsid w:val="004C4116"/>
    <w:rsid w:val="004C5C3D"/>
    <w:rsid w:val="004C6C1C"/>
    <w:rsid w:val="004C7163"/>
    <w:rsid w:val="004C7241"/>
    <w:rsid w:val="004C78DB"/>
    <w:rsid w:val="004D140D"/>
    <w:rsid w:val="004D593B"/>
    <w:rsid w:val="004D68B2"/>
    <w:rsid w:val="004E016F"/>
    <w:rsid w:val="004E057C"/>
    <w:rsid w:val="004E1EC4"/>
    <w:rsid w:val="004E332A"/>
    <w:rsid w:val="004E5BBA"/>
    <w:rsid w:val="004E72DF"/>
    <w:rsid w:val="004F00F0"/>
    <w:rsid w:val="004F11C0"/>
    <w:rsid w:val="004F52A3"/>
    <w:rsid w:val="004F6B54"/>
    <w:rsid w:val="004F79D9"/>
    <w:rsid w:val="00503DA3"/>
    <w:rsid w:val="005047BA"/>
    <w:rsid w:val="005074A7"/>
    <w:rsid w:val="0050765D"/>
    <w:rsid w:val="005107CE"/>
    <w:rsid w:val="0051137A"/>
    <w:rsid w:val="005125D3"/>
    <w:rsid w:val="0051587F"/>
    <w:rsid w:val="00517894"/>
    <w:rsid w:val="00517F4C"/>
    <w:rsid w:val="00521E1F"/>
    <w:rsid w:val="0052287F"/>
    <w:rsid w:val="00523E96"/>
    <w:rsid w:val="005259FF"/>
    <w:rsid w:val="00533936"/>
    <w:rsid w:val="005342FF"/>
    <w:rsid w:val="005450CE"/>
    <w:rsid w:val="0055228A"/>
    <w:rsid w:val="00552EA7"/>
    <w:rsid w:val="00553590"/>
    <w:rsid w:val="005539DB"/>
    <w:rsid w:val="00553D9C"/>
    <w:rsid w:val="00554110"/>
    <w:rsid w:val="0055504C"/>
    <w:rsid w:val="0056047B"/>
    <w:rsid w:val="005624D7"/>
    <w:rsid w:val="00562AE9"/>
    <w:rsid w:val="00566279"/>
    <w:rsid w:val="00567149"/>
    <w:rsid w:val="00570ECF"/>
    <w:rsid w:val="005718A9"/>
    <w:rsid w:val="00571E27"/>
    <w:rsid w:val="005744D2"/>
    <w:rsid w:val="005750C7"/>
    <w:rsid w:val="0057608E"/>
    <w:rsid w:val="005768E6"/>
    <w:rsid w:val="00581B5E"/>
    <w:rsid w:val="00583288"/>
    <w:rsid w:val="0058487C"/>
    <w:rsid w:val="00584AB9"/>
    <w:rsid w:val="00592BE0"/>
    <w:rsid w:val="00593032"/>
    <w:rsid w:val="005944BD"/>
    <w:rsid w:val="00594DCD"/>
    <w:rsid w:val="00596652"/>
    <w:rsid w:val="005A12FE"/>
    <w:rsid w:val="005A18FC"/>
    <w:rsid w:val="005A2C6B"/>
    <w:rsid w:val="005A4B8A"/>
    <w:rsid w:val="005B0536"/>
    <w:rsid w:val="005B3B4D"/>
    <w:rsid w:val="005B3C7C"/>
    <w:rsid w:val="005B5519"/>
    <w:rsid w:val="005B63C1"/>
    <w:rsid w:val="005B71A9"/>
    <w:rsid w:val="005B744B"/>
    <w:rsid w:val="005C3466"/>
    <w:rsid w:val="005C50A1"/>
    <w:rsid w:val="005D0929"/>
    <w:rsid w:val="005D11EE"/>
    <w:rsid w:val="005D17F5"/>
    <w:rsid w:val="005D1959"/>
    <w:rsid w:val="005D1E65"/>
    <w:rsid w:val="005D2893"/>
    <w:rsid w:val="005D3AA5"/>
    <w:rsid w:val="005D443E"/>
    <w:rsid w:val="005D719C"/>
    <w:rsid w:val="005E18D6"/>
    <w:rsid w:val="005E31CC"/>
    <w:rsid w:val="005E43AE"/>
    <w:rsid w:val="005E5760"/>
    <w:rsid w:val="005E5FD7"/>
    <w:rsid w:val="005E7E1D"/>
    <w:rsid w:val="005E7FC3"/>
    <w:rsid w:val="005F137C"/>
    <w:rsid w:val="005F1783"/>
    <w:rsid w:val="005F1C94"/>
    <w:rsid w:val="005F2508"/>
    <w:rsid w:val="005F4A96"/>
    <w:rsid w:val="005F60F9"/>
    <w:rsid w:val="005F671F"/>
    <w:rsid w:val="005F6F4C"/>
    <w:rsid w:val="005F7FA8"/>
    <w:rsid w:val="00601A78"/>
    <w:rsid w:val="006022C9"/>
    <w:rsid w:val="00604713"/>
    <w:rsid w:val="006061FF"/>
    <w:rsid w:val="00607C7D"/>
    <w:rsid w:val="00611137"/>
    <w:rsid w:val="0061195B"/>
    <w:rsid w:val="00612F3E"/>
    <w:rsid w:val="006135C7"/>
    <w:rsid w:val="006144FE"/>
    <w:rsid w:val="00616A5E"/>
    <w:rsid w:val="00616AD3"/>
    <w:rsid w:val="0062080A"/>
    <w:rsid w:val="00620D66"/>
    <w:rsid w:val="00624A19"/>
    <w:rsid w:val="0062533E"/>
    <w:rsid w:val="0062559A"/>
    <w:rsid w:val="00630183"/>
    <w:rsid w:val="0063140A"/>
    <w:rsid w:val="0063239E"/>
    <w:rsid w:val="00632610"/>
    <w:rsid w:val="00633683"/>
    <w:rsid w:val="00637313"/>
    <w:rsid w:val="0063778B"/>
    <w:rsid w:val="006413B1"/>
    <w:rsid w:val="0064153B"/>
    <w:rsid w:val="00644F00"/>
    <w:rsid w:val="0064555D"/>
    <w:rsid w:val="0064564A"/>
    <w:rsid w:val="00645DCE"/>
    <w:rsid w:val="00647767"/>
    <w:rsid w:val="006531FB"/>
    <w:rsid w:val="00653B01"/>
    <w:rsid w:val="00655C3C"/>
    <w:rsid w:val="0065678C"/>
    <w:rsid w:val="006600B2"/>
    <w:rsid w:val="00660B8D"/>
    <w:rsid w:val="006626F9"/>
    <w:rsid w:val="00662E77"/>
    <w:rsid w:val="006643EF"/>
    <w:rsid w:val="0066595F"/>
    <w:rsid w:val="00670014"/>
    <w:rsid w:val="0067149D"/>
    <w:rsid w:val="00672107"/>
    <w:rsid w:val="0068013A"/>
    <w:rsid w:val="006802C3"/>
    <w:rsid w:val="00682664"/>
    <w:rsid w:val="00682E85"/>
    <w:rsid w:val="00684854"/>
    <w:rsid w:val="00685456"/>
    <w:rsid w:val="00685979"/>
    <w:rsid w:val="00685D1E"/>
    <w:rsid w:val="006867F5"/>
    <w:rsid w:val="00686D5B"/>
    <w:rsid w:val="00691340"/>
    <w:rsid w:val="00697F34"/>
    <w:rsid w:val="006A12AE"/>
    <w:rsid w:val="006A1F5F"/>
    <w:rsid w:val="006A2EF8"/>
    <w:rsid w:val="006A500A"/>
    <w:rsid w:val="006A5864"/>
    <w:rsid w:val="006A5B5A"/>
    <w:rsid w:val="006A5BBD"/>
    <w:rsid w:val="006A601F"/>
    <w:rsid w:val="006A62B4"/>
    <w:rsid w:val="006B1569"/>
    <w:rsid w:val="006B2578"/>
    <w:rsid w:val="006B3FD3"/>
    <w:rsid w:val="006B4230"/>
    <w:rsid w:val="006B43B7"/>
    <w:rsid w:val="006C2CA7"/>
    <w:rsid w:val="006C39C6"/>
    <w:rsid w:val="006C4670"/>
    <w:rsid w:val="006C705C"/>
    <w:rsid w:val="006C737D"/>
    <w:rsid w:val="006D098E"/>
    <w:rsid w:val="006D0D66"/>
    <w:rsid w:val="006D13A9"/>
    <w:rsid w:val="006D147A"/>
    <w:rsid w:val="006D2BA5"/>
    <w:rsid w:val="006D3197"/>
    <w:rsid w:val="006D347D"/>
    <w:rsid w:val="006D434E"/>
    <w:rsid w:val="006D52D7"/>
    <w:rsid w:val="006D557C"/>
    <w:rsid w:val="006D6103"/>
    <w:rsid w:val="006D67F6"/>
    <w:rsid w:val="006E196B"/>
    <w:rsid w:val="006E1BE3"/>
    <w:rsid w:val="006E365B"/>
    <w:rsid w:val="006E3FF4"/>
    <w:rsid w:val="006E4BBD"/>
    <w:rsid w:val="006F0A26"/>
    <w:rsid w:val="006F1493"/>
    <w:rsid w:val="006F17AB"/>
    <w:rsid w:val="006F19E7"/>
    <w:rsid w:val="006F4E27"/>
    <w:rsid w:val="006F7874"/>
    <w:rsid w:val="006F7CAA"/>
    <w:rsid w:val="00701152"/>
    <w:rsid w:val="00702F73"/>
    <w:rsid w:val="00703247"/>
    <w:rsid w:val="007107F9"/>
    <w:rsid w:val="00713D9A"/>
    <w:rsid w:val="007158FF"/>
    <w:rsid w:val="00716BC6"/>
    <w:rsid w:val="007201F7"/>
    <w:rsid w:val="00720A03"/>
    <w:rsid w:val="00721FA0"/>
    <w:rsid w:val="007223DC"/>
    <w:rsid w:val="00727E82"/>
    <w:rsid w:val="00730937"/>
    <w:rsid w:val="007313C3"/>
    <w:rsid w:val="0073277A"/>
    <w:rsid w:val="00734C38"/>
    <w:rsid w:val="007350BA"/>
    <w:rsid w:val="00735DDB"/>
    <w:rsid w:val="00736381"/>
    <w:rsid w:val="0074001A"/>
    <w:rsid w:val="00740B91"/>
    <w:rsid w:val="0074150E"/>
    <w:rsid w:val="007428E6"/>
    <w:rsid w:val="00746BEE"/>
    <w:rsid w:val="00747EB8"/>
    <w:rsid w:val="00754DFC"/>
    <w:rsid w:val="00757EA0"/>
    <w:rsid w:val="00761116"/>
    <w:rsid w:val="00761E90"/>
    <w:rsid w:val="00762B22"/>
    <w:rsid w:val="00762C40"/>
    <w:rsid w:val="00762CF8"/>
    <w:rsid w:val="00763922"/>
    <w:rsid w:val="007659F3"/>
    <w:rsid w:val="0076603B"/>
    <w:rsid w:val="007660BE"/>
    <w:rsid w:val="00770400"/>
    <w:rsid w:val="00770F80"/>
    <w:rsid w:val="00773823"/>
    <w:rsid w:val="00775B8B"/>
    <w:rsid w:val="00776125"/>
    <w:rsid w:val="0077687C"/>
    <w:rsid w:val="007778F4"/>
    <w:rsid w:val="00777A09"/>
    <w:rsid w:val="007819BF"/>
    <w:rsid w:val="00782FDE"/>
    <w:rsid w:val="00783644"/>
    <w:rsid w:val="007863CC"/>
    <w:rsid w:val="00787807"/>
    <w:rsid w:val="007914C8"/>
    <w:rsid w:val="00792DF4"/>
    <w:rsid w:val="00794254"/>
    <w:rsid w:val="007954B1"/>
    <w:rsid w:val="00796DEF"/>
    <w:rsid w:val="007A097E"/>
    <w:rsid w:val="007A20CC"/>
    <w:rsid w:val="007A2CE5"/>
    <w:rsid w:val="007A3B3E"/>
    <w:rsid w:val="007A484E"/>
    <w:rsid w:val="007A7AC9"/>
    <w:rsid w:val="007B0057"/>
    <w:rsid w:val="007B02FD"/>
    <w:rsid w:val="007B4C70"/>
    <w:rsid w:val="007B57F9"/>
    <w:rsid w:val="007B6AEF"/>
    <w:rsid w:val="007B7A44"/>
    <w:rsid w:val="007C0E7F"/>
    <w:rsid w:val="007C2A70"/>
    <w:rsid w:val="007C31BF"/>
    <w:rsid w:val="007C3FAC"/>
    <w:rsid w:val="007C435A"/>
    <w:rsid w:val="007C51D3"/>
    <w:rsid w:val="007C5683"/>
    <w:rsid w:val="007D062F"/>
    <w:rsid w:val="007D25BB"/>
    <w:rsid w:val="007D2B07"/>
    <w:rsid w:val="007D670C"/>
    <w:rsid w:val="007D6E02"/>
    <w:rsid w:val="007D7F26"/>
    <w:rsid w:val="007E11D8"/>
    <w:rsid w:val="007E2272"/>
    <w:rsid w:val="007E3783"/>
    <w:rsid w:val="007E5171"/>
    <w:rsid w:val="007E51CD"/>
    <w:rsid w:val="007E5CFB"/>
    <w:rsid w:val="007F0562"/>
    <w:rsid w:val="007F0C1B"/>
    <w:rsid w:val="007F1BC8"/>
    <w:rsid w:val="007F7700"/>
    <w:rsid w:val="00800D46"/>
    <w:rsid w:val="00801737"/>
    <w:rsid w:val="008037DE"/>
    <w:rsid w:val="008064EF"/>
    <w:rsid w:val="008107D3"/>
    <w:rsid w:val="00810C3B"/>
    <w:rsid w:val="00814EAA"/>
    <w:rsid w:val="00815FB8"/>
    <w:rsid w:val="00817385"/>
    <w:rsid w:val="00817B94"/>
    <w:rsid w:val="00823289"/>
    <w:rsid w:val="00824B9D"/>
    <w:rsid w:val="00824FB2"/>
    <w:rsid w:val="00825424"/>
    <w:rsid w:val="0082572D"/>
    <w:rsid w:val="0082587F"/>
    <w:rsid w:val="00826E16"/>
    <w:rsid w:val="00827141"/>
    <w:rsid w:val="008271F3"/>
    <w:rsid w:val="00831B88"/>
    <w:rsid w:val="00832AAA"/>
    <w:rsid w:val="00834A36"/>
    <w:rsid w:val="00836DBD"/>
    <w:rsid w:val="008409AD"/>
    <w:rsid w:val="00842E5D"/>
    <w:rsid w:val="00843C06"/>
    <w:rsid w:val="008444AC"/>
    <w:rsid w:val="008456B9"/>
    <w:rsid w:val="008470DC"/>
    <w:rsid w:val="008502E7"/>
    <w:rsid w:val="00851921"/>
    <w:rsid w:val="008534E5"/>
    <w:rsid w:val="00854622"/>
    <w:rsid w:val="0085498C"/>
    <w:rsid w:val="00856389"/>
    <w:rsid w:val="008611F2"/>
    <w:rsid w:val="0086185C"/>
    <w:rsid w:val="008627D3"/>
    <w:rsid w:val="00863381"/>
    <w:rsid w:val="00863707"/>
    <w:rsid w:val="00864511"/>
    <w:rsid w:val="008679F6"/>
    <w:rsid w:val="00867FDF"/>
    <w:rsid w:val="00870125"/>
    <w:rsid w:val="00874944"/>
    <w:rsid w:val="00877029"/>
    <w:rsid w:val="00877757"/>
    <w:rsid w:val="00877DC9"/>
    <w:rsid w:val="00877DDD"/>
    <w:rsid w:val="00881AEF"/>
    <w:rsid w:val="00884334"/>
    <w:rsid w:val="00884BA7"/>
    <w:rsid w:val="00886398"/>
    <w:rsid w:val="008872F8"/>
    <w:rsid w:val="008873C1"/>
    <w:rsid w:val="00890A67"/>
    <w:rsid w:val="008948C5"/>
    <w:rsid w:val="00894B02"/>
    <w:rsid w:val="00894B77"/>
    <w:rsid w:val="0089704B"/>
    <w:rsid w:val="008973A4"/>
    <w:rsid w:val="008A2EEE"/>
    <w:rsid w:val="008A3D60"/>
    <w:rsid w:val="008A4445"/>
    <w:rsid w:val="008A455C"/>
    <w:rsid w:val="008A5EEB"/>
    <w:rsid w:val="008A6F7E"/>
    <w:rsid w:val="008A6FE3"/>
    <w:rsid w:val="008A7365"/>
    <w:rsid w:val="008A7E7F"/>
    <w:rsid w:val="008B663E"/>
    <w:rsid w:val="008C3461"/>
    <w:rsid w:val="008C4F06"/>
    <w:rsid w:val="008C6729"/>
    <w:rsid w:val="008C7A91"/>
    <w:rsid w:val="008D0C63"/>
    <w:rsid w:val="008D0F89"/>
    <w:rsid w:val="008D1A4A"/>
    <w:rsid w:val="008D6226"/>
    <w:rsid w:val="008D71BA"/>
    <w:rsid w:val="008D7D38"/>
    <w:rsid w:val="008E059A"/>
    <w:rsid w:val="008E2625"/>
    <w:rsid w:val="008E2A12"/>
    <w:rsid w:val="008E380D"/>
    <w:rsid w:val="008E3C73"/>
    <w:rsid w:val="008E5D00"/>
    <w:rsid w:val="008F105E"/>
    <w:rsid w:val="008F2966"/>
    <w:rsid w:val="008F332C"/>
    <w:rsid w:val="008F3ECF"/>
    <w:rsid w:val="008F785B"/>
    <w:rsid w:val="008F7D1E"/>
    <w:rsid w:val="00900BB8"/>
    <w:rsid w:val="009010D7"/>
    <w:rsid w:val="0090200F"/>
    <w:rsid w:val="009025FB"/>
    <w:rsid w:val="00905D6F"/>
    <w:rsid w:val="00905DD9"/>
    <w:rsid w:val="00906F2D"/>
    <w:rsid w:val="0090740D"/>
    <w:rsid w:val="00912958"/>
    <w:rsid w:val="00913ED0"/>
    <w:rsid w:val="0091481A"/>
    <w:rsid w:val="0091541A"/>
    <w:rsid w:val="00915484"/>
    <w:rsid w:val="009159AE"/>
    <w:rsid w:val="00915C43"/>
    <w:rsid w:val="00917042"/>
    <w:rsid w:val="0092018F"/>
    <w:rsid w:val="0092126F"/>
    <w:rsid w:val="00921A77"/>
    <w:rsid w:val="00921CE0"/>
    <w:rsid w:val="00922C78"/>
    <w:rsid w:val="00923633"/>
    <w:rsid w:val="009239BF"/>
    <w:rsid w:val="00925C98"/>
    <w:rsid w:val="00925F1F"/>
    <w:rsid w:val="00931321"/>
    <w:rsid w:val="009317D6"/>
    <w:rsid w:val="00931B9B"/>
    <w:rsid w:val="00931C5D"/>
    <w:rsid w:val="00934210"/>
    <w:rsid w:val="0093512C"/>
    <w:rsid w:val="009354C2"/>
    <w:rsid w:val="00935BAE"/>
    <w:rsid w:val="00936755"/>
    <w:rsid w:val="00937B21"/>
    <w:rsid w:val="00937CC5"/>
    <w:rsid w:val="00940324"/>
    <w:rsid w:val="0094262D"/>
    <w:rsid w:val="009427A5"/>
    <w:rsid w:val="00942808"/>
    <w:rsid w:val="00942E52"/>
    <w:rsid w:val="00943884"/>
    <w:rsid w:val="00943E62"/>
    <w:rsid w:val="009471A1"/>
    <w:rsid w:val="00950546"/>
    <w:rsid w:val="009509F9"/>
    <w:rsid w:val="00962567"/>
    <w:rsid w:val="00965742"/>
    <w:rsid w:val="00972836"/>
    <w:rsid w:val="009739F4"/>
    <w:rsid w:val="009763F9"/>
    <w:rsid w:val="00976446"/>
    <w:rsid w:val="0097773F"/>
    <w:rsid w:val="00980476"/>
    <w:rsid w:val="009822B1"/>
    <w:rsid w:val="00982AD6"/>
    <w:rsid w:val="009830DB"/>
    <w:rsid w:val="00983198"/>
    <w:rsid w:val="00983A1E"/>
    <w:rsid w:val="009862F5"/>
    <w:rsid w:val="00993C6A"/>
    <w:rsid w:val="00994C83"/>
    <w:rsid w:val="0099533B"/>
    <w:rsid w:val="0099581A"/>
    <w:rsid w:val="009A09E4"/>
    <w:rsid w:val="009A55DB"/>
    <w:rsid w:val="009A7BD6"/>
    <w:rsid w:val="009B1279"/>
    <w:rsid w:val="009B3C1E"/>
    <w:rsid w:val="009B5A81"/>
    <w:rsid w:val="009B6C34"/>
    <w:rsid w:val="009C049F"/>
    <w:rsid w:val="009C0791"/>
    <w:rsid w:val="009C0DD8"/>
    <w:rsid w:val="009C0F37"/>
    <w:rsid w:val="009C12C8"/>
    <w:rsid w:val="009C4038"/>
    <w:rsid w:val="009C61EC"/>
    <w:rsid w:val="009C62D7"/>
    <w:rsid w:val="009C7CA5"/>
    <w:rsid w:val="009D3CB6"/>
    <w:rsid w:val="009D4ACE"/>
    <w:rsid w:val="009D7364"/>
    <w:rsid w:val="009E37C4"/>
    <w:rsid w:val="009E3A44"/>
    <w:rsid w:val="009E582C"/>
    <w:rsid w:val="009E793C"/>
    <w:rsid w:val="009F39B9"/>
    <w:rsid w:val="009F4A70"/>
    <w:rsid w:val="009F5E60"/>
    <w:rsid w:val="00A004D1"/>
    <w:rsid w:val="00A014F0"/>
    <w:rsid w:val="00A03A5C"/>
    <w:rsid w:val="00A049E3"/>
    <w:rsid w:val="00A064F5"/>
    <w:rsid w:val="00A11391"/>
    <w:rsid w:val="00A119EE"/>
    <w:rsid w:val="00A1219B"/>
    <w:rsid w:val="00A16735"/>
    <w:rsid w:val="00A16BDF"/>
    <w:rsid w:val="00A211F9"/>
    <w:rsid w:val="00A219B6"/>
    <w:rsid w:val="00A2324C"/>
    <w:rsid w:val="00A23D87"/>
    <w:rsid w:val="00A25816"/>
    <w:rsid w:val="00A25BAC"/>
    <w:rsid w:val="00A25F11"/>
    <w:rsid w:val="00A27767"/>
    <w:rsid w:val="00A31B4D"/>
    <w:rsid w:val="00A3263A"/>
    <w:rsid w:val="00A32FDC"/>
    <w:rsid w:val="00A40626"/>
    <w:rsid w:val="00A41AE7"/>
    <w:rsid w:val="00A473FC"/>
    <w:rsid w:val="00A47BE9"/>
    <w:rsid w:val="00A505E2"/>
    <w:rsid w:val="00A529C1"/>
    <w:rsid w:val="00A52EFA"/>
    <w:rsid w:val="00A5363E"/>
    <w:rsid w:val="00A547EC"/>
    <w:rsid w:val="00A5534A"/>
    <w:rsid w:val="00A56E95"/>
    <w:rsid w:val="00A61BD2"/>
    <w:rsid w:val="00A65EE3"/>
    <w:rsid w:val="00A703B8"/>
    <w:rsid w:val="00A74FD6"/>
    <w:rsid w:val="00A76171"/>
    <w:rsid w:val="00A76C82"/>
    <w:rsid w:val="00A80243"/>
    <w:rsid w:val="00A8052B"/>
    <w:rsid w:val="00A82973"/>
    <w:rsid w:val="00A82FB2"/>
    <w:rsid w:val="00A83F2A"/>
    <w:rsid w:val="00A84499"/>
    <w:rsid w:val="00A85482"/>
    <w:rsid w:val="00A86E62"/>
    <w:rsid w:val="00A90857"/>
    <w:rsid w:val="00A908D7"/>
    <w:rsid w:val="00A96423"/>
    <w:rsid w:val="00AA1F28"/>
    <w:rsid w:val="00AA20B6"/>
    <w:rsid w:val="00AA24FB"/>
    <w:rsid w:val="00AA3077"/>
    <w:rsid w:val="00AB0E30"/>
    <w:rsid w:val="00AB2258"/>
    <w:rsid w:val="00AB2E81"/>
    <w:rsid w:val="00AB44FC"/>
    <w:rsid w:val="00AB4ADE"/>
    <w:rsid w:val="00AB57DB"/>
    <w:rsid w:val="00AB798A"/>
    <w:rsid w:val="00AC063C"/>
    <w:rsid w:val="00AC20AA"/>
    <w:rsid w:val="00AC4329"/>
    <w:rsid w:val="00AC5655"/>
    <w:rsid w:val="00AC574A"/>
    <w:rsid w:val="00AD4D98"/>
    <w:rsid w:val="00AD75B0"/>
    <w:rsid w:val="00AE2A8D"/>
    <w:rsid w:val="00AE5B29"/>
    <w:rsid w:val="00AF250F"/>
    <w:rsid w:val="00AF7074"/>
    <w:rsid w:val="00B00BCC"/>
    <w:rsid w:val="00B01A3E"/>
    <w:rsid w:val="00B02774"/>
    <w:rsid w:val="00B042E9"/>
    <w:rsid w:val="00B04914"/>
    <w:rsid w:val="00B062F8"/>
    <w:rsid w:val="00B06460"/>
    <w:rsid w:val="00B07B5A"/>
    <w:rsid w:val="00B10047"/>
    <w:rsid w:val="00B116B6"/>
    <w:rsid w:val="00B1284E"/>
    <w:rsid w:val="00B12B52"/>
    <w:rsid w:val="00B131C4"/>
    <w:rsid w:val="00B13CA4"/>
    <w:rsid w:val="00B14E94"/>
    <w:rsid w:val="00B14F93"/>
    <w:rsid w:val="00B15289"/>
    <w:rsid w:val="00B25252"/>
    <w:rsid w:val="00B25924"/>
    <w:rsid w:val="00B25A67"/>
    <w:rsid w:val="00B26083"/>
    <w:rsid w:val="00B26ABF"/>
    <w:rsid w:val="00B277E4"/>
    <w:rsid w:val="00B30D18"/>
    <w:rsid w:val="00B338B0"/>
    <w:rsid w:val="00B34F48"/>
    <w:rsid w:val="00B35B21"/>
    <w:rsid w:val="00B371E1"/>
    <w:rsid w:val="00B42C24"/>
    <w:rsid w:val="00B43DC9"/>
    <w:rsid w:val="00B4503D"/>
    <w:rsid w:val="00B45C1E"/>
    <w:rsid w:val="00B46326"/>
    <w:rsid w:val="00B47491"/>
    <w:rsid w:val="00B47C6C"/>
    <w:rsid w:val="00B53A3D"/>
    <w:rsid w:val="00B57EFF"/>
    <w:rsid w:val="00B62726"/>
    <w:rsid w:val="00B62E4B"/>
    <w:rsid w:val="00B64F44"/>
    <w:rsid w:val="00B71614"/>
    <w:rsid w:val="00B716D1"/>
    <w:rsid w:val="00B71B2D"/>
    <w:rsid w:val="00B739FF"/>
    <w:rsid w:val="00B7416D"/>
    <w:rsid w:val="00B762F4"/>
    <w:rsid w:val="00B77097"/>
    <w:rsid w:val="00B77774"/>
    <w:rsid w:val="00B77DD3"/>
    <w:rsid w:val="00B8189E"/>
    <w:rsid w:val="00B86297"/>
    <w:rsid w:val="00B90B2C"/>
    <w:rsid w:val="00B91433"/>
    <w:rsid w:val="00B94CCA"/>
    <w:rsid w:val="00B96F86"/>
    <w:rsid w:val="00BA1235"/>
    <w:rsid w:val="00BA132E"/>
    <w:rsid w:val="00BA1695"/>
    <w:rsid w:val="00BA3DDD"/>
    <w:rsid w:val="00BA4BFB"/>
    <w:rsid w:val="00BA4C68"/>
    <w:rsid w:val="00BA5D3A"/>
    <w:rsid w:val="00BA6BF2"/>
    <w:rsid w:val="00BA708B"/>
    <w:rsid w:val="00BB0E99"/>
    <w:rsid w:val="00BB3F16"/>
    <w:rsid w:val="00BB6D4F"/>
    <w:rsid w:val="00BC2770"/>
    <w:rsid w:val="00BC3785"/>
    <w:rsid w:val="00BC627D"/>
    <w:rsid w:val="00BC6A3E"/>
    <w:rsid w:val="00BD02C9"/>
    <w:rsid w:val="00BD069D"/>
    <w:rsid w:val="00BD0EBB"/>
    <w:rsid w:val="00BD1AF0"/>
    <w:rsid w:val="00BD4043"/>
    <w:rsid w:val="00BD4E68"/>
    <w:rsid w:val="00BD6A18"/>
    <w:rsid w:val="00BD6AAB"/>
    <w:rsid w:val="00BD774F"/>
    <w:rsid w:val="00BE335A"/>
    <w:rsid w:val="00BE494C"/>
    <w:rsid w:val="00BE4F12"/>
    <w:rsid w:val="00BE57AA"/>
    <w:rsid w:val="00BF1173"/>
    <w:rsid w:val="00BF14B6"/>
    <w:rsid w:val="00BF5357"/>
    <w:rsid w:val="00BF5E0B"/>
    <w:rsid w:val="00BF6E6C"/>
    <w:rsid w:val="00C00269"/>
    <w:rsid w:val="00C11791"/>
    <w:rsid w:val="00C119A8"/>
    <w:rsid w:val="00C13A75"/>
    <w:rsid w:val="00C15D54"/>
    <w:rsid w:val="00C171CE"/>
    <w:rsid w:val="00C2027E"/>
    <w:rsid w:val="00C2035D"/>
    <w:rsid w:val="00C20D5F"/>
    <w:rsid w:val="00C239AC"/>
    <w:rsid w:val="00C24822"/>
    <w:rsid w:val="00C25E6A"/>
    <w:rsid w:val="00C269C6"/>
    <w:rsid w:val="00C31776"/>
    <w:rsid w:val="00C32608"/>
    <w:rsid w:val="00C33946"/>
    <w:rsid w:val="00C34276"/>
    <w:rsid w:val="00C36A8A"/>
    <w:rsid w:val="00C36EC0"/>
    <w:rsid w:val="00C37911"/>
    <w:rsid w:val="00C37E41"/>
    <w:rsid w:val="00C40CD9"/>
    <w:rsid w:val="00C469D3"/>
    <w:rsid w:val="00C471EC"/>
    <w:rsid w:val="00C47E15"/>
    <w:rsid w:val="00C53072"/>
    <w:rsid w:val="00C5366E"/>
    <w:rsid w:val="00C54349"/>
    <w:rsid w:val="00C545F4"/>
    <w:rsid w:val="00C56B3D"/>
    <w:rsid w:val="00C611B9"/>
    <w:rsid w:val="00C62450"/>
    <w:rsid w:val="00C63F93"/>
    <w:rsid w:val="00C66CB9"/>
    <w:rsid w:val="00C723CB"/>
    <w:rsid w:val="00C738B5"/>
    <w:rsid w:val="00C75078"/>
    <w:rsid w:val="00C759E2"/>
    <w:rsid w:val="00C75B94"/>
    <w:rsid w:val="00C7600E"/>
    <w:rsid w:val="00C766D5"/>
    <w:rsid w:val="00C76980"/>
    <w:rsid w:val="00C8042F"/>
    <w:rsid w:val="00C8087B"/>
    <w:rsid w:val="00C8102D"/>
    <w:rsid w:val="00C83A30"/>
    <w:rsid w:val="00C8405F"/>
    <w:rsid w:val="00C84D61"/>
    <w:rsid w:val="00C8693E"/>
    <w:rsid w:val="00C879D2"/>
    <w:rsid w:val="00C90B5E"/>
    <w:rsid w:val="00C90BCD"/>
    <w:rsid w:val="00C91B83"/>
    <w:rsid w:val="00C93E17"/>
    <w:rsid w:val="00C94188"/>
    <w:rsid w:val="00C9466C"/>
    <w:rsid w:val="00C948C6"/>
    <w:rsid w:val="00C9784F"/>
    <w:rsid w:val="00CA188E"/>
    <w:rsid w:val="00CA2FE5"/>
    <w:rsid w:val="00CA390B"/>
    <w:rsid w:val="00CA3C9F"/>
    <w:rsid w:val="00CA7580"/>
    <w:rsid w:val="00CB13BA"/>
    <w:rsid w:val="00CB1CA5"/>
    <w:rsid w:val="00CB378B"/>
    <w:rsid w:val="00CB4320"/>
    <w:rsid w:val="00CB47DF"/>
    <w:rsid w:val="00CB5506"/>
    <w:rsid w:val="00CB66B0"/>
    <w:rsid w:val="00CC0C9F"/>
    <w:rsid w:val="00CC1DD4"/>
    <w:rsid w:val="00CC5F9E"/>
    <w:rsid w:val="00CC76D4"/>
    <w:rsid w:val="00CD117C"/>
    <w:rsid w:val="00CD1753"/>
    <w:rsid w:val="00CD1A29"/>
    <w:rsid w:val="00CD4109"/>
    <w:rsid w:val="00CD61F7"/>
    <w:rsid w:val="00CD66E8"/>
    <w:rsid w:val="00CD77CF"/>
    <w:rsid w:val="00CD7A4B"/>
    <w:rsid w:val="00CE1437"/>
    <w:rsid w:val="00CE1453"/>
    <w:rsid w:val="00CE1663"/>
    <w:rsid w:val="00CE4092"/>
    <w:rsid w:val="00CE4DB1"/>
    <w:rsid w:val="00CE6B38"/>
    <w:rsid w:val="00CE7148"/>
    <w:rsid w:val="00CF2E6B"/>
    <w:rsid w:val="00CF3DE4"/>
    <w:rsid w:val="00CF54AD"/>
    <w:rsid w:val="00CF5FBA"/>
    <w:rsid w:val="00CF6970"/>
    <w:rsid w:val="00CF7B6A"/>
    <w:rsid w:val="00D009AA"/>
    <w:rsid w:val="00D03B1D"/>
    <w:rsid w:val="00D04707"/>
    <w:rsid w:val="00D07941"/>
    <w:rsid w:val="00D10C18"/>
    <w:rsid w:val="00D1222D"/>
    <w:rsid w:val="00D12616"/>
    <w:rsid w:val="00D13A94"/>
    <w:rsid w:val="00D176FB"/>
    <w:rsid w:val="00D20A2E"/>
    <w:rsid w:val="00D21EA2"/>
    <w:rsid w:val="00D242AA"/>
    <w:rsid w:val="00D249FE"/>
    <w:rsid w:val="00D25355"/>
    <w:rsid w:val="00D2668F"/>
    <w:rsid w:val="00D272FE"/>
    <w:rsid w:val="00D274D4"/>
    <w:rsid w:val="00D305B3"/>
    <w:rsid w:val="00D30AE8"/>
    <w:rsid w:val="00D31261"/>
    <w:rsid w:val="00D31BCE"/>
    <w:rsid w:val="00D31CB4"/>
    <w:rsid w:val="00D40E81"/>
    <w:rsid w:val="00D415FD"/>
    <w:rsid w:val="00D42630"/>
    <w:rsid w:val="00D42F41"/>
    <w:rsid w:val="00D439CF"/>
    <w:rsid w:val="00D45CA8"/>
    <w:rsid w:val="00D46ADF"/>
    <w:rsid w:val="00D50CE3"/>
    <w:rsid w:val="00D50DEB"/>
    <w:rsid w:val="00D50FDD"/>
    <w:rsid w:val="00D5201E"/>
    <w:rsid w:val="00D52785"/>
    <w:rsid w:val="00D543D9"/>
    <w:rsid w:val="00D561A2"/>
    <w:rsid w:val="00D61B2F"/>
    <w:rsid w:val="00D6337A"/>
    <w:rsid w:val="00D63542"/>
    <w:rsid w:val="00D66CA1"/>
    <w:rsid w:val="00D678FD"/>
    <w:rsid w:val="00D67F1F"/>
    <w:rsid w:val="00D70337"/>
    <w:rsid w:val="00D71576"/>
    <w:rsid w:val="00D7173A"/>
    <w:rsid w:val="00D71B7C"/>
    <w:rsid w:val="00D71C20"/>
    <w:rsid w:val="00D71DA3"/>
    <w:rsid w:val="00D72DBB"/>
    <w:rsid w:val="00D73533"/>
    <w:rsid w:val="00D75B01"/>
    <w:rsid w:val="00D766F1"/>
    <w:rsid w:val="00D77C12"/>
    <w:rsid w:val="00D804EA"/>
    <w:rsid w:val="00D80B08"/>
    <w:rsid w:val="00D8159F"/>
    <w:rsid w:val="00D81DF4"/>
    <w:rsid w:val="00D82725"/>
    <w:rsid w:val="00D85F9B"/>
    <w:rsid w:val="00D873BF"/>
    <w:rsid w:val="00D9013D"/>
    <w:rsid w:val="00D919D3"/>
    <w:rsid w:val="00D929E6"/>
    <w:rsid w:val="00D9442C"/>
    <w:rsid w:val="00D94701"/>
    <w:rsid w:val="00D95192"/>
    <w:rsid w:val="00D9643A"/>
    <w:rsid w:val="00D96D4C"/>
    <w:rsid w:val="00D97303"/>
    <w:rsid w:val="00DA253D"/>
    <w:rsid w:val="00DA2614"/>
    <w:rsid w:val="00DA30B6"/>
    <w:rsid w:val="00DA5307"/>
    <w:rsid w:val="00DA7C1A"/>
    <w:rsid w:val="00DB01AA"/>
    <w:rsid w:val="00DB2DFF"/>
    <w:rsid w:val="00DB3118"/>
    <w:rsid w:val="00DB346F"/>
    <w:rsid w:val="00DB4230"/>
    <w:rsid w:val="00DB4407"/>
    <w:rsid w:val="00DB4E66"/>
    <w:rsid w:val="00DB5899"/>
    <w:rsid w:val="00DB6AAF"/>
    <w:rsid w:val="00DC05FD"/>
    <w:rsid w:val="00DC46C4"/>
    <w:rsid w:val="00DC52F1"/>
    <w:rsid w:val="00DC5C47"/>
    <w:rsid w:val="00DC69A8"/>
    <w:rsid w:val="00DC6EB2"/>
    <w:rsid w:val="00DC7698"/>
    <w:rsid w:val="00DC7EE1"/>
    <w:rsid w:val="00DD0645"/>
    <w:rsid w:val="00DD19F7"/>
    <w:rsid w:val="00DD486C"/>
    <w:rsid w:val="00DD49BE"/>
    <w:rsid w:val="00DE0BC4"/>
    <w:rsid w:val="00DE246D"/>
    <w:rsid w:val="00DE2D79"/>
    <w:rsid w:val="00DE52E2"/>
    <w:rsid w:val="00DE60BD"/>
    <w:rsid w:val="00DF1405"/>
    <w:rsid w:val="00DF1A94"/>
    <w:rsid w:val="00DF1F4D"/>
    <w:rsid w:val="00DF37A3"/>
    <w:rsid w:val="00DF5379"/>
    <w:rsid w:val="00DF749E"/>
    <w:rsid w:val="00E0320A"/>
    <w:rsid w:val="00E03A82"/>
    <w:rsid w:val="00E04047"/>
    <w:rsid w:val="00E04BBC"/>
    <w:rsid w:val="00E06854"/>
    <w:rsid w:val="00E06F50"/>
    <w:rsid w:val="00E1108B"/>
    <w:rsid w:val="00E12A3C"/>
    <w:rsid w:val="00E144C6"/>
    <w:rsid w:val="00E16038"/>
    <w:rsid w:val="00E16890"/>
    <w:rsid w:val="00E24C93"/>
    <w:rsid w:val="00E25EFB"/>
    <w:rsid w:val="00E26A4F"/>
    <w:rsid w:val="00E27030"/>
    <w:rsid w:val="00E30EE6"/>
    <w:rsid w:val="00E342E0"/>
    <w:rsid w:val="00E353D1"/>
    <w:rsid w:val="00E35C6E"/>
    <w:rsid w:val="00E37BAA"/>
    <w:rsid w:val="00E41FF3"/>
    <w:rsid w:val="00E425FF"/>
    <w:rsid w:val="00E4476D"/>
    <w:rsid w:val="00E47529"/>
    <w:rsid w:val="00E47A8E"/>
    <w:rsid w:val="00E51B04"/>
    <w:rsid w:val="00E51C60"/>
    <w:rsid w:val="00E51F0A"/>
    <w:rsid w:val="00E52773"/>
    <w:rsid w:val="00E528A9"/>
    <w:rsid w:val="00E57721"/>
    <w:rsid w:val="00E60073"/>
    <w:rsid w:val="00E61268"/>
    <w:rsid w:val="00E615BF"/>
    <w:rsid w:val="00E625B9"/>
    <w:rsid w:val="00E6314C"/>
    <w:rsid w:val="00E665D4"/>
    <w:rsid w:val="00E66733"/>
    <w:rsid w:val="00E67248"/>
    <w:rsid w:val="00E71CCC"/>
    <w:rsid w:val="00E73174"/>
    <w:rsid w:val="00E735E1"/>
    <w:rsid w:val="00E75146"/>
    <w:rsid w:val="00E758E2"/>
    <w:rsid w:val="00E7696D"/>
    <w:rsid w:val="00E85C04"/>
    <w:rsid w:val="00E869B0"/>
    <w:rsid w:val="00E940AB"/>
    <w:rsid w:val="00E95665"/>
    <w:rsid w:val="00E9659D"/>
    <w:rsid w:val="00EA05AA"/>
    <w:rsid w:val="00EA18F4"/>
    <w:rsid w:val="00EA6442"/>
    <w:rsid w:val="00EA6607"/>
    <w:rsid w:val="00EB0B23"/>
    <w:rsid w:val="00EB313D"/>
    <w:rsid w:val="00EB4E39"/>
    <w:rsid w:val="00EB79C2"/>
    <w:rsid w:val="00EC01C5"/>
    <w:rsid w:val="00EC041E"/>
    <w:rsid w:val="00EC2A90"/>
    <w:rsid w:val="00EC451A"/>
    <w:rsid w:val="00EC5048"/>
    <w:rsid w:val="00EC5B99"/>
    <w:rsid w:val="00EC5FF0"/>
    <w:rsid w:val="00EC6A4D"/>
    <w:rsid w:val="00ED16F4"/>
    <w:rsid w:val="00ED29FB"/>
    <w:rsid w:val="00ED4C95"/>
    <w:rsid w:val="00ED5D87"/>
    <w:rsid w:val="00ED5DBF"/>
    <w:rsid w:val="00ED5FC9"/>
    <w:rsid w:val="00ED6683"/>
    <w:rsid w:val="00EE01A3"/>
    <w:rsid w:val="00EE0804"/>
    <w:rsid w:val="00EE1E22"/>
    <w:rsid w:val="00EE4538"/>
    <w:rsid w:val="00EE4AB6"/>
    <w:rsid w:val="00EE6EE1"/>
    <w:rsid w:val="00EF0B27"/>
    <w:rsid w:val="00EF3D13"/>
    <w:rsid w:val="00EF4115"/>
    <w:rsid w:val="00EF4331"/>
    <w:rsid w:val="00EF45D3"/>
    <w:rsid w:val="00EF4F93"/>
    <w:rsid w:val="00EF5ED6"/>
    <w:rsid w:val="00F006B6"/>
    <w:rsid w:val="00F013CC"/>
    <w:rsid w:val="00F059DA"/>
    <w:rsid w:val="00F07E5D"/>
    <w:rsid w:val="00F12551"/>
    <w:rsid w:val="00F12C83"/>
    <w:rsid w:val="00F20879"/>
    <w:rsid w:val="00F20A1F"/>
    <w:rsid w:val="00F21DAD"/>
    <w:rsid w:val="00F2386C"/>
    <w:rsid w:val="00F2771D"/>
    <w:rsid w:val="00F27811"/>
    <w:rsid w:val="00F303BB"/>
    <w:rsid w:val="00F30F95"/>
    <w:rsid w:val="00F3216D"/>
    <w:rsid w:val="00F32EDC"/>
    <w:rsid w:val="00F366DA"/>
    <w:rsid w:val="00F401CA"/>
    <w:rsid w:val="00F43229"/>
    <w:rsid w:val="00F443BD"/>
    <w:rsid w:val="00F47705"/>
    <w:rsid w:val="00F506E3"/>
    <w:rsid w:val="00F512E5"/>
    <w:rsid w:val="00F522C7"/>
    <w:rsid w:val="00F5248C"/>
    <w:rsid w:val="00F52DA2"/>
    <w:rsid w:val="00F535CE"/>
    <w:rsid w:val="00F53ADC"/>
    <w:rsid w:val="00F5410C"/>
    <w:rsid w:val="00F55667"/>
    <w:rsid w:val="00F557CF"/>
    <w:rsid w:val="00F564A1"/>
    <w:rsid w:val="00F56E00"/>
    <w:rsid w:val="00F60066"/>
    <w:rsid w:val="00F602B3"/>
    <w:rsid w:val="00F6091C"/>
    <w:rsid w:val="00F60C22"/>
    <w:rsid w:val="00F638B4"/>
    <w:rsid w:val="00F63A9E"/>
    <w:rsid w:val="00F65042"/>
    <w:rsid w:val="00F6568C"/>
    <w:rsid w:val="00F67352"/>
    <w:rsid w:val="00F673C1"/>
    <w:rsid w:val="00F6790E"/>
    <w:rsid w:val="00F7020B"/>
    <w:rsid w:val="00F72FA2"/>
    <w:rsid w:val="00F732A6"/>
    <w:rsid w:val="00F73E7D"/>
    <w:rsid w:val="00F74B3E"/>
    <w:rsid w:val="00F74F1A"/>
    <w:rsid w:val="00F75422"/>
    <w:rsid w:val="00F80BB6"/>
    <w:rsid w:val="00F80FDB"/>
    <w:rsid w:val="00F82A4C"/>
    <w:rsid w:val="00F82C5D"/>
    <w:rsid w:val="00F84450"/>
    <w:rsid w:val="00F8659B"/>
    <w:rsid w:val="00F908AB"/>
    <w:rsid w:val="00F94B25"/>
    <w:rsid w:val="00F955B9"/>
    <w:rsid w:val="00F95926"/>
    <w:rsid w:val="00F95EC5"/>
    <w:rsid w:val="00F9639A"/>
    <w:rsid w:val="00FA0171"/>
    <w:rsid w:val="00FA10B5"/>
    <w:rsid w:val="00FA1A42"/>
    <w:rsid w:val="00FA29E5"/>
    <w:rsid w:val="00FA3308"/>
    <w:rsid w:val="00FA4404"/>
    <w:rsid w:val="00FA5F91"/>
    <w:rsid w:val="00FA663F"/>
    <w:rsid w:val="00FA6E47"/>
    <w:rsid w:val="00FA7B29"/>
    <w:rsid w:val="00FB3C84"/>
    <w:rsid w:val="00FB42C8"/>
    <w:rsid w:val="00FB599B"/>
    <w:rsid w:val="00FB764E"/>
    <w:rsid w:val="00FC0437"/>
    <w:rsid w:val="00FC1954"/>
    <w:rsid w:val="00FC33D0"/>
    <w:rsid w:val="00FC3F3A"/>
    <w:rsid w:val="00FD1D59"/>
    <w:rsid w:val="00FD2488"/>
    <w:rsid w:val="00FD2A5B"/>
    <w:rsid w:val="00FE001E"/>
    <w:rsid w:val="00FE017D"/>
    <w:rsid w:val="00FE07E1"/>
    <w:rsid w:val="00FE465C"/>
    <w:rsid w:val="00FF05BD"/>
    <w:rsid w:val="00FF0BE5"/>
    <w:rsid w:val="00FF1316"/>
    <w:rsid w:val="00FF21E7"/>
    <w:rsid w:val="00FF2C51"/>
    <w:rsid w:val="00FF56E8"/>
    <w:rsid w:val="00FF5F8D"/>
    <w:rsid w:val="018231B1"/>
    <w:rsid w:val="03A70148"/>
    <w:rsid w:val="0E864901"/>
    <w:rsid w:val="0F3C2628"/>
    <w:rsid w:val="110825AC"/>
    <w:rsid w:val="11E7720D"/>
    <w:rsid w:val="1A126BF6"/>
    <w:rsid w:val="1C7A23BA"/>
    <w:rsid w:val="1DD26AD0"/>
    <w:rsid w:val="216868CC"/>
    <w:rsid w:val="22D95B72"/>
    <w:rsid w:val="25D65151"/>
    <w:rsid w:val="275735E0"/>
    <w:rsid w:val="29A00651"/>
    <w:rsid w:val="2DB54461"/>
    <w:rsid w:val="2E6F43E3"/>
    <w:rsid w:val="309246BA"/>
    <w:rsid w:val="320970BA"/>
    <w:rsid w:val="36603F7E"/>
    <w:rsid w:val="36C3734C"/>
    <w:rsid w:val="373950DB"/>
    <w:rsid w:val="39B10F6C"/>
    <w:rsid w:val="39CC40B0"/>
    <w:rsid w:val="3C700790"/>
    <w:rsid w:val="3D803E9B"/>
    <w:rsid w:val="3F321F31"/>
    <w:rsid w:val="40A73918"/>
    <w:rsid w:val="43572B58"/>
    <w:rsid w:val="43BA691A"/>
    <w:rsid w:val="45AE519B"/>
    <w:rsid w:val="47DB0F96"/>
    <w:rsid w:val="48876ABF"/>
    <w:rsid w:val="497F323A"/>
    <w:rsid w:val="4A865EE4"/>
    <w:rsid w:val="4B6642F3"/>
    <w:rsid w:val="4C86519F"/>
    <w:rsid w:val="4F5C4C74"/>
    <w:rsid w:val="502D35CD"/>
    <w:rsid w:val="51B573AD"/>
    <w:rsid w:val="51DB5426"/>
    <w:rsid w:val="563D0FDD"/>
    <w:rsid w:val="56456044"/>
    <w:rsid w:val="564E56EF"/>
    <w:rsid w:val="570644B3"/>
    <w:rsid w:val="5B82381C"/>
    <w:rsid w:val="5BFA59B6"/>
    <w:rsid w:val="625C0151"/>
    <w:rsid w:val="640B39F2"/>
    <w:rsid w:val="643E4BF1"/>
    <w:rsid w:val="65FA1F90"/>
    <w:rsid w:val="675C3285"/>
    <w:rsid w:val="6B682FD2"/>
    <w:rsid w:val="6BFE481F"/>
    <w:rsid w:val="6E4E1837"/>
    <w:rsid w:val="6FF00030"/>
    <w:rsid w:val="760A7A08"/>
    <w:rsid w:val="7BFF4136"/>
    <w:rsid w:val="7C236226"/>
    <w:rsid w:val="7DE04851"/>
    <w:rsid w:val="7F100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adjustRightInd/>
      <w:spacing w:line="240" w:lineRule="auto"/>
      <w:jc w:val="center"/>
      <w:textAlignment w:val="auto"/>
      <w:outlineLvl w:val="1"/>
    </w:pPr>
    <w:rPr>
      <w:rFonts w:ascii="Times" w:hAnsi="Times" w:cs="Times"/>
      <w:b/>
      <w:bCs/>
      <w:sz w:val="21"/>
      <w:szCs w:val="21"/>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9"/>
    <w:semiHidden/>
    <w:unhideWhenUsed/>
    <w:qFormat/>
    <w:uiPriority w:val="99"/>
    <w:rPr>
      <w:rFonts w:ascii="宋体"/>
      <w:sz w:val="18"/>
      <w:szCs w:val="18"/>
    </w:rPr>
  </w:style>
  <w:style w:type="paragraph" w:styleId="4">
    <w:name w:val="annotation text"/>
    <w:basedOn w:val="1"/>
    <w:semiHidden/>
    <w:unhideWhenUsed/>
    <w:qFormat/>
    <w:uiPriority w:val="99"/>
    <w:pPr>
      <w:jc w:val="left"/>
    </w:pPr>
  </w:style>
  <w:style w:type="paragraph" w:styleId="5">
    <w:name w:val="Body Text"/>
    <w:basedOn w:val="1"/>
    <w:link w:val="18"/>
    <w:semiHidden/>
    <w:unhideWhenUsed/>
    <w:qFormat/>
    <w:uiPriority w:val="99"/>
    <w:pPr>
      <w:spacing w:after="120"/>
    </w:pPr>
  </w:style>
  <w:style w:type="paragraph" w:styleId="6">
    <w:name w:val="Body Text Indent"/>
    <w:basedOn w:val="1"/>
    <w:link w:val="17"/>
    <w:qFormat/>
    <w:uiPriority w:val="99"/>
    <w:pPr>
      <w:spacing w:after="120"/>
      <w:ind w:left="420" w:leftChars="200"/>
    </w:pPr>
  </w:style>
  <w:style w:type="paragraph" w:styleId="7">
    <w:name w:val="Body Text Indent 2"/>
    <w:basedOn w:val="1"/>
    <w:link w:val="23"/>
    <w:semiHidden/>
    <w:unhideWhenUsed/>
    <w:qFormat/>
    <w:uiPriority w:val="99"/>
    <w:pPr>
      <w:spacing w:after="120" w:line="480" w:lineRule="auto"/>
      <w:ind w:left="420" w:leftChars="200"/>
    </w:pPr>
  </w:style>
  <w:style w:type="paragraph" w:styleId="8">
    <w:name w:val="Balloon Text"/>
    <w:basedOn w:val="1"/>
    <w:link w:val="24"/>
    <w:semiHidden/>
    <w:unhideWhenUsed/>
    <w:qFormat/>
    <w:uiPriority w:val="99"/>
    <w:rPr>
      <w:sz w:val="18"/>
      <w:szCs w:val="18"/>
    </w:r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11"/>
    <w:link w:val="10"/>
    <w:qFormat/>
    <w:uiPriority w:val="99"/>
    <w:rPr>
      <w:sz w:val="18"/>
      <w:szCs w:val="18"/>
    </w:rPr>
  </w:style>
  <w:style w:type="character" w:customStyle="1" w:styleId="15">
    <w:name w:val="页脚 Char"/>
    <w:basedOn w:val="11"/>
    <w:link w:val="9"/>
    <w:qFormat/>
    <w:uiPriority w:val="99"/>
    <w:rPr>
      <w:sz w:val="18"/>
      <w:szCs w:val="18"/>
    </w:rPr>
  </w:style>
  <w:style w:type="paragraph" w:customStyle="1" w:styleId="16">
    <w:name w:val="章节名格式"/>
    <w:basedOn w:val="1"/>
    <w:next w:val="5"/>
    <w:qFormat/>
    <w:uiPriority w:val="99"/>
    <w:pPr>
      <w:widowControl/>
      <w:autoSpaceDE w:val="0"/>
      <w:autoSpaceDN w:val="0"/>
      <w:adjustRightInd w:val="0"/>
      <w:spacing w:line="360" w:lineRule="auto"/>
      <w:ind w:left="1080"/>
      <w:jc w:val="center"/>
      <w:outlineLvl w:val="0"/>
    </w:pPr>
    <w:rPr>
      <w:rFonts w:ascii="仿宋_GB2312" w:hAnsi="华文仿宋" w:eastAsia="仿宋_GB2312"/>
      <w:b/>
      <w:color w:val="000000"/>
      <w:kern w:val="0"/>
      <w:sz w:val="28"/>
      <w:szCs w:val="20"/>
    </w:rPr>
  </w:style>
  <w:style w:type="character" w:customStyle="1" w:styleId="17">
    <w:name w:val="正文文本缩进 Char"/>
    <w:basedOn w:val="11"/>
    <w:link w:val="6"/>
    <w:qFormat/>
    <w:uiPriority w:val="99"/>
    <w:rPr>
      <w:rFonts w:ascii="Times New Roman" w:hAnsi="Times New Roman" w:eastAsia="宋体" w:cs="Times New Roman"/>
      <w:szCs w:val="24"/>
    </w:rPr>
  </w:style>
  <w:style w:type="character" w:customStyle="1" w:styleId="18">
    <w:name w:val="正文文本 Char"/>
    <w:basedOn w:val="11"/>
    <w:link w:val="5"/>
    <w:semiHidden/>
    <w:qFormat/>
    <w:uiPriority w:val="99"/>
    <w:rPr>
      <w:rFonts w:ascii="Times New Roman" w:hAnsi="Times New Roman" w:eastAsia="宋体" w:cs="Times New Roman"/>
      <w:szCs w:val="24"/>
    </w:rPr>
  </w:style>
  <w:style w:type="character" w:customStyle="1" w:styleId="19">
    <w:name w:val="文档结构图 Char"/>
    <w:basedOn w:val="11"/>
    <w:link w:val="3"/>
    <w:semiHidden/>
    <w:qFormat/>
    <w:uiPriority w:val="99"/>
    <w:rPr>
      <w:rFonts w:ascii="宋体" w:hAnsi="Times New Roman" w:eastAsia="宋体" w:cs="Times New Roman"/>
      <w:sz w:val="18"/>
      <w:szCs w:val="18"/>
    </w:rPr>
  </w:style>
  <w:style w:type="paragraph" w:styleId="20">
    <w:name w:val="List Paragraph"/>
    <w:basedOn w:val="1"/>
    <w:qFormat/>
    <w:uiPriority w:val="34"/>
    <w:pPr>
      <w:ind w:firstLine="420" w:firstLineChars="200"/>
    </w:pPr>
  </w:style>
  <w:style w:type="paragraph" w:customStyle="1" w:styleId="21">
    <w:name w:val="Char Char Char Char"/>
    <w:basedOn w:val="1"/>
    <w:qFormat/>
    <w:uiPriority w:val="99"/>
    <w:rPr>
      <w:rFonts w:ascii="Tahoma" w:hAnsi="Tahoma" w:cs="Tahoma"/>
      <w:sz w:val="24"/>
    </w:rPr>
  </w:style>
  <w:style w:type="character" w:customStyle="1" w:styleId="22">
    <w:name w:val="apple-style-span"/>
    <w:basedOn w:val="11"/>
    <w:qFormat/>
    <w:uiPriority w:val="0"/>
  </w:style>
  <w:style w:type="character" w:customStyle="1" w:styleId="23">
    <w:name w:val="正文文本缩进 2 Char"/>
    <w:basedOn w:val="11"/>
    <w:link w:val="7"/>
    <w:semiHidden/>
    <w:qFormat/>
    <w:uiPriority w:val="99"/>
    <w:rPr>
      <w:rFonts w:ascii="Times New Roman" w:hAnsi="Times New Roman" w:eastAsia="宋体" w:cs="Times New Roman"/>
      <w:szCs w:val="24"/>
    </w:rPr>
  </w:style>
  <w:style w:type="character" w:customStyle="1" w:styleId="24">
    <w:name w:val="批注框文本 Char"/>
    <w:basedOn w:val="11"/>
    <w:link w:val="8"/>
    <w:semiHidden/>
    <w:qFormat/>
    <w:uiPriority w:val="99"/>
    <w:rPr>
      <w:kern w:val="2"/>
      <w:sz w:val="18"/>
      <w:szCs w:val="18"/>
    </w:rPr>
  </w:style>
  <w:style w:type="table" w:customStyle="1" w:styleId="25">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88137-A484-44F4-849C-B825B1133CD8}">
  <ds:schemaRefs/>
</ds:datastoreItem>
</file>

<file path=docProps/app.xml><?xml version="1.0" encoding="utf-8"?>
<Properties xmlns="http://schemas.openxmlformats.org/officeDocument/2006/extended-properties" xmlns:vt="http://schemas.openxmlformats.org/officeDocument/2006/docPropsVTypes">
  <Template>Normal</Template>
  <Company>中国平安保险(集团)股份有限公司</Company>
  <Pages>12</Pages>
  <Words>825</Words>
  <Characters>4707</Characters>
  <Lines>39</Lines>
  <Paragraphs>11</Paragraphs>
  <TotalTime>59</TotalTime>
  <ScaleCrop>false</ScaleCrop>
  <LinksUpToDate>false</LinksUpToDate>
  <CharactersWithSpaces>5521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2022-04-01T02:09:00Z</dcterms:created>
  <dc:creator>grh</dc:creator>
  <cp:lastModifiedBy>刘燕</cp:lastModifiedBy>
  <dcterms:modified xsi:type="dcterms:W3CDTF">2023-05-11T09:04:19Z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B4692981F64741BEBADEA8802124A5C2</vt:lpwstr>
  </property>
</Properties>
</file>